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"/>
        </w:rPr>
        <w:t>附件</w:t>
      </w:r>
      <w:r>
        <w:rPr>
          <w:rFonts w:hint="eastAsia"/>
          <w:b w:val="0"/>
          <w:bCs w:val="0"/>
          <w:sz w:val="24"/>
          <w:szCs w:val="24"/>
        </w:rPr>
        <w:t>2</w:t>
      </w:r>
    </w:p>
    <w:p>
      <w:pPr>
        <w:pStyle w:val="3"/>
        <w:jc w:val="center"/>
      </w:pPr>
      <w:r>
        <w:rPr>
          <w:rFonts w:hint="eastAsia"/>
        </w:rPr>
        <w:t>福建省属</w:t>
      </w:r>
      <w:r>
        <w:t>企业技术创新需求征集表</w:t>
      </w:r>
    </w:p>
    <w:tbl>
      <w:tblPr>
        <w:tblStyle w:val="7"/>
        <w:tblpPr w:leftFromText="180" w:rightFromText="180" w:vertAnchor="text" w:tblpY="1"/>
        <w:tblOverlap w:val="never"/>
        <w:tblW w:w="8765" w:type="dxa"/>
        <w:tblInd w:w="0" w:type="dxa"/>
        <w:tblBorders>
          <w:top w:val="single" w:color="7E7E7E" w:themeColor="background1" w:themeShade="7F" w:sz="4" w:space="0"/>
          <w:left w:val="single" w:color="7E7E7E" w:themeColor="background1" w:themeShade="7F" w:sz="4" w:space="0"/>
          <w:bottom w:val="single" w:color="7E7E7E" w:themeColor="background1" w:themeShade="7F" w:sz="4" w:space="0"/>
          <w:right w:val="single" w:color="7E7E7E" w:themeColor="background1" w:themeShade="7F" w:sz="4" w:space="0"/>
          <w:insideH w:val="single" w:color="7E7E7E" w:themeColor="background1" w:themeShade="7F" w:sz="4" w:space="0"/>
          <w:insideV w:val="single" w:color="7E7E7E" w:themeColor="background1" w:themeShade="7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3221"/>
        <w:gridCol w:w="1246"/>
        <w:gridCol w:w="2832"/>
      </w:tblGrid>
      <w:tr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所属集团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福建省电子信息集团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福建福日电子股份有限公司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cantSplit/>
          <w:trHeight w:val="495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陈梅林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技术中心主任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  <w:lang w:val="en-US" w:eastAsia="zh-CN"/>
              </w:rPr>
              <w:t>13305029078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Times New Roman"/>
                <w:snapToGrid w:val="0"/>
                <w:color w:val="000000"/>
                <w:kern w:val="0"/>
                <w:szCs w:val="21"/>
                <w:lang w:val="en-US" w:eastAsia="zh-CN"/>
              </w:rPr>
              <w:t>chenml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@furielec.com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需求标题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通信终端（手机/PC等）直连卫星系统方案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5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新一代信息技术    □ 新材料     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高端装备制造  □ 化学化工</w:t>
            </w: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□ 新能源与节能环保  □ 航空航天技术  □ 现代海洋      □ 生物医药</w:t>
            </w: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□ 交通规划与运输 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电子信息      □ 其他________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67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需求类型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□ 专利购买 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技术难题解决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新技术开发    □ 投资融资    </w:t>
            </w: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□ 技术储备 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专业人才需求   □ 其他________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52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需求缘由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新产品开发     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产品升级换代       □ 生产线技术改造 </w:t>
            </w: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□ 制造工艺改进      □ 制造装备改进       □ 其他________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42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合作方式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□ 股权投资       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技术转让    □ 许可使用 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合作开发 </w:t>
            </w: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合作兴办新企业    □ 其他__________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308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拟投入金额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  <w:lang w:val="en-US"/>
              </w:rPr>
              <w:t>500</w:t>
            </w:r>
            <w:r>
              <w:rPr>
                <w:rFonts w:hint="eastAsia" w:eastAsia="仿宋_GB2312" w:cs="Times New Roman"/>
                <w:snapToGrid w:val="0"/>
                <w:color w:val="000000"/>
                <w:kern w:val="0"/>
                <w:szCs w:val="21"/>
                <w:lang w:eastAsia="zh-CN"/>
              </w:rPr>
              <w:t>万元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344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需求描述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ind w:firstLine="420" w:firstLineChars="200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因国内基于NTN标准的卫星系统还未完善，且手机等移动终端因结构设计紧凑、天线环境差效率低和方向性局限等因素，卫星通信方案的设计方案挑战难度大。基于未来市场需求，公司需预研并开发基于未来NTN（非地面网络）标准的终端（手机/PC等）通信技术方案，方向包括:1.高灵敏先进共形通信天线设计技术。2.先进的信号处理算法：如信道估计、均衡、滤波等，信道噪声屏蔽和抗干扰技术。公司规划择机参与国内NTN标准卫星通信方案制定及基于该标准的商业化项目的应用开发、落地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8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企业简介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ind w:firstLine="420" w:firstLineChars="200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福建福日电子股份有限公司是福建省电子信息产业的龙头企业，1999年5月上海证券交易所挂牌上市（证券简称：福日电子，证券代码：600203）。公司集研发、制造、销售、服务于一体，拥有中诺通讯、源磊科技、迈锐光电等参控股企业20余家。2022年，公司实现营收165.5亿元，总资产89.69亿元。公司连续2年入围中国制造业企业500强，连续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年入围福建省制造业企业100强（202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年位列第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位），被评为首批“福建省龙头培育企业”，旗下中诺通讯位列2022年广东省电子信息制造综合实力百强企业第45位。</w:t>
            </w:r>
          </w:p>
          <w:p>
            <w:pPr>
              <w:spacing w:line="360" w:lineRule="auto"/>
              <w:ind w:firstLine="420" w:firstLineChars="200"/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公司前身是全国电子行业第一家中外合资企业，自诞生之日起，就与改革同频共振，“福日”牌电视机曾享誉全国，创造出中国彩电技术18项全国第一。上市以来，通过资源整合、资产重组、结构调整，逐步形成以手机为主的智能终端业务、LED光电及贸易类三大主营产业。公司目前主要产品及服务包括：智能手机等智能终端产品ODM/OEM；LED 封装、LED 应用产品及LED 工程项目建设等，合作伙伴涵盖华为、荣耀、摩托、大疆、京东、字节、科大等知名厂商。2018年公司被国务院国资委纳入全国国企改革“双百行动”试点单位，2020年改革实践案例入选国务院国资委《改革样本：国企改革“双百行动”案例集》，2022年再度上榜最新“双百企业”名单。</w:t>
            </w:r>
          </w:p>
          <w:p>
            <w:pPr>
              <w:spacing w:line="360" w:lineRule="auto"/>
              <w:ind w:firstLine="420" w:firstLineChars="200"/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 多年来，公司坚持自主创新，聚焦前沿技术，截至202</w:t>
            </w:r>
            <w:r>
              <w:rPr>
                <w:rFonts w:hint="eastAsia" w:eastAsia="仿宋_GB2312" w:cs="Times New Roman"/>
                <w:snapToGrid w:val="0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年底累计申请专利</w:t>
            </w:r>
            <w:r>
              <w:rPr>
                <w:rFonts w:hint="eastAsia" w:eastAsia="仿宋_GB2312" w:cs="Times New Roman"/>
                <w:snapToGrid w:val="0"/>
                <w:color w:val="auto"/>
                <w:kern w:val="0"/>
                <w:szCs w:val="21"/>
                <w:lang w:val="en-US" w:eastAsia="zh-CN"/>
              </w:rPr>
              <w:t>1371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项，获得专利授权</w:t>
            </w:r>
            <w:r>
              <w:rPr>
                <w:rFonts w:hint="eastAsia" w:eastAsia="仿宋_GB2312" w:cs="Times New Roman"/>
                <w:snapToGrid w:val="0"/>
                <w:color w:val="auto"/>
                <w:kern w:val="0"/>
                <w:szCs w:val="21"/>
                <w:lang w:val="en-US" w:eastAsia="zh-CN"/>
              </w:rPr>
              <w:t>1046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项，在5G智能终端设计、新型LED光源开发、LED 智慧显示解决方案等领域均取得创新成果，是福建省首批创新型企业、福建省战略性新兴产业骨干企业、工信部两化融合管理体系贯标试点单位，以及国家863计划课题及国家电子发展基金项目承担单位。</w:t>
            </w:r>
          </w:p>
          <w:p>
            <w:pPr>
              <w:spacing w:line="360" w:lineRule="auto"/>
              <w:ind w:firstLine="420" w:firstLineChars="200"/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  <w:t>未来，公司将秉承“务实、创新、和谐、共赢”的核心价值观和“绿色科技、智慧生活”的经营理念，将智能终端产品ODM、OEM业务打造成强大的硬件流量平台。</w:t>
            </w:r>
          </w:p>
          <w:p>
            <w:pPr>
              <w:spacing w:line="360" w:lineRule="auto"/>
              <w:ind w:firstLine="420" w:firstLineChars="200"/>
              <w:rPr>
                <w:rFonts w:hint="eastAsia" w:ascii="Times New Roman" w:hAnsi="Times New Roman" w:eastAsia="仿宋_GB2312" w:cs="Times New Roman"/>
                <w:snapToGrid w:val="0"/>
                <w:color w:val="auto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31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企业上年度销售额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□ 1000万以下  □ 1000万-5000万   □ 5000万-1亿  </w:t>
            </w: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□ 1亿-2亿     </w:t>
            </w:r>
            <w:r>
              <w:rPr>
                <w:rFonts w:hint="eastAsia" w:eastAsia="仿宋_GB2312" w:cs="Times New Roman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 xml:space="preserve"> 2亿以上</w:t>
            </w:r>
            <w:bookmarkStart w:id="0" w:name="_GoBack"/>
            <w:bookmarkEnd w:id="0"/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81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  <w:t>补充材料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2Q3ZGIwNzliMmNkMWYwZGM4MWNhNjU4ODBkMDg3YTEifQ=="/>
  </w:docVars>
  <w:rsids>
    <w:rsidRoot w:val="5EC5849C"/>
    <w:rsid w:val="00161E1B"/>
    <w:rsid w:val="00267C53"/>
    <w:rsid w:val="00327F37"/>
    <w:rsid w:val="00371C9E"/>
    <w:rsid w:val="007F2B28"/>
    <w:rsid w:val="008132A9"/>
    <w:rsid w:val="008E3706"/>
    <w:rsid w:val="009238C1"/>
    <w:rsid w:val="0099152C"/>
    <w:rsid w:val="00A33DB6"/>
    <w:rsid w:val="00A451A4"/>
    <w:rsid w:val="013B0668"/>
    <w:rsid w:val="03850C6F"/>
    <w:rsid w:val="090464BD"/>
    <w:rsid w:val="0D136775"/>
    <w:rsid w:val="0DEAB020"/>
    <w:rsid w:val="0FDFF58D"/>
    <w:rsid w:val="135A2147"/>
    <w:rsid w:val="14A32AD4"/>
    <w:rsid w:val="171C6B6E"/>
    <w:rsid w:val="181C4BBA"/>
    <w:rsid w:val="18721E5E"/>
    <w:rsid w:val="19FD90B4"/>
    <w:rsid w:val="1BEF7C95"/>
    <w:rsid w:val="1D8F49B9"/>
    <w:rsid w:val="1EE1C420"/>
    <w:rsid w:val="23D76DCE"/>
    <w:rsid w:val="27FEAB5C"/>
    <w:rsid w:val="2A1BFCBE"/>
    <w:rsid w:val="2B0E5ED5"/>
    <w:rsid w:val="2B5FE633"/>
    <w:rsid w:val="2BEFDBA1"/>
    <w:rsid w:val="2F7B1FBA"/>
    <w:rsid w:val="2F9C0128"/>
    <w:rsid w:val="33F33D11"/>
    <w:rsid w:val="349D49F2"/>
    <w:rsid w:val="36DC10F4"/>
    <w:rsid w:val="37BBD2BF"/>
    <w:rsid w:val="37FFAB54"/>
    <w:rsid w:val="390F1A43"/>
    <w:rsid w:val="39D70EAF"/>
    <w:rsid w:val="3AAE9D6C"/>
    <w:rsid w:val="3B6DFE67"/>
    <w:rsid w:val="3BCE1E21"/>
    <w:rsid w:val="3D5F5DAD"/>
    <w:rsid w:val="3DF7581E"/>
    <w:rsid w:val="3E5D4294"/>
    <w:rsid w:val="3EE4CE4D"/>
    <w:rsid w:val="3EEBB9C5"/>
    <w:rsid w:val="3EF7194D"/>
    <w:rsid w:val="3EFF1C42"/>
    <w:rsid w:val="3FBFE549"/>
    <w:rsid w:val="3FD75BCD"/>
    <w:rsid w:val="3FE7AD24"/>
    <w:rsid w:val="3FFE98E2"/>
    <w:rsid w:val="3FFF1896"/>
    <w:rsid w:val="3FFF590C"/>
    <w:rsid w:val="41FBA6CE"/>
    <w:rsid w:val="437EB5A4"/>
    <w:rsid w:val="44E51E7B"/>
    <w:rsid w:val="450A03D3"/>
    <w:rsid w:val="47A26258"/>
    <w:rsid w:val="49FE3D2D"/>
    <w:rsid w:val="53FC451B"/>
    <w:rsid w:val="56ABB321"/>
    <w:rsid w:val="579DB03C"/>
    <w:rsid w:val="5BC21E58"/>
    <w:rsid w:val="5BFA2E65"/>
    <w:rsid w:val="5C726994"/>
    <w:rsid w:val="5CFB88A6"/>
    <w:rsid w:val="5D18F755"/>
    <w:rsid w:val="5D7D74BD"/>
    <w:rsid w:val="5DF3F0D8"/>
    <w:rsid w:val="5EB697D9"/>
    <w:rsid w:val="5EC5849C"/>
    <w:rsid w:val="5F2A02A6"/>
    <w:rsid w:val="5F541B44"/>
    <w:rsid w:val="5F67D93C"/>
    <w:rsid w:val="5F77E666"/>
    <w:rsid w:val="5FB77223"/>
    <w:rsid w:val="5FFCC4C1"/>
    <w:rsid w:val="5FFD0080"/>
    <w:rsid w:val="5FFF740A"/>
    <w:rsid w:val="61776D5A"/>
    <w:rsid w:val="6974326C"/>
    <w:rsid w:val="6BFFD4C3"/>
    <w:rsid w:val="6C7F4402"/>
    <w:rsid w:val="6E3E3E63"/>
    <w:rsid w:val="6F2C0081"/>
    <w:rsid w:val="6F6968F7"/>
    <w:rsid w:val="6FB19D06"/>
    <w:rsid w:val="70562594"/>
    <w:rsid w:val="745DADF4"/>
    <w:rsid w:val="757B6DCB"/>
    <w:rsid w:val="76DE00A4"/>
    <w:rsid w:val="77BF5F25"/>
    <w:rsid w:val="77DE858B"/>
    <w:rsid w:val="77FDB90A"/>
    <w:rsid w:val="78F6EE31"/>
    <w:rsid w:val="79F26CC1"/>
    <w:rsid w:val="7B5F82FC"/>
    <w:rsid w:val="7B7D4C48"/>
    <w:rsid w:val="7BBF12D5"/>
    <w:rsid w:val="7BF1893D"/>
    <w:rsid w:val="7CED5A92"/>
    <w:rsid w:val="7D5FF262"/>
    <w:rsid w:val="7DBB29E5"/>
    <w:rsid w:val="7DD2D919"/>
    <w:rsid w:val="7DD72D08"/>
    <w:rsid w:val="7DFBEE85"/>
    <w:rsid w:val="7DFD4F93"/>
    <w:rsid w:val="7E9F5AF7"/>
    <w:rsid w:val="7EDAB7B9"/>
    <w:rsid w:val="7EFA0ECF"/>
    <w:rsid w:val="7EFB12CD"/>
    <w:rsid w:val="7EFFF234"/>
    <w:rsid w:val="7F6983F4"/>
    <w:rsid w:val="7F758238"/>
    <w:rsid w:val="7F7FB46F"/>
    <w:rsid w:val="7FAFF185"/>
    <w:rsid w:val="7FDE7CAA"/>
    <w:rsid w:val="7FDFE45B"/>
    <w:rsid w:val="7FFD3FB3"/>
    <w:rsid w:val="7FFF5225"/>
    <w:rsid w:val="8E7C5508"/>
    <w:rsid w:val="91D7BF3A"/>
    <w:rsid w:val="9B7D22A9"/>
    <w:rsid w:val="9D9FAA35"/>
    <w:rsid w:val="9E3B2651"/>
    <w:rsid w:val="9FEF0717"/>
    <w:rsid w:val="ABF72F69"/>
    <w:rsid w:val="AD0A99E9"/>
    <w:rsid w:val="AED601B3"/>
    <w:rsid w:val="B379CEEB"/>
    <w:rsid w:val="B3E535CE"/>
    <w:rsid w:val="B5DFDF4E"/>
    <w:rsid w:val="B60F4A5B"/>
    <w:rsid w:val="B66A637D"/>
    <w:rsid w:val="B77EEB8D"/>
    <w:rsid w:val="B7D56DEF"/>
    <w:rsid w:val="B9376027"/>
    <w:rsid w:val="BBDFC52F"/>
    <w:rsid w:val="BCFF8A68"/>
    <w:rsid w:val="BD6A1ED2"/>
    <w:rsid w:val="BDA74E03"/>
    <w:rsid w:val="BDDF4E0A"/>
    <w:rsid w:val="BDF900BE"/>
    <w:rsid w:val="BFF7A160"/>
    <w:rsid w:val="BFFF4F85"/>
    <w:rsid w:val="CABE0AFD"/>
    <w:rsid w:val="CFF72F26"/>
    <w:rsid w:val="CFFEE44E"/>
    <w:rsid w:val="D5F2F14B"/>
    <w:rsid w:val="D66A08E0"/>
    <w:rsid w:val="D7757E92"/>
    <w:rsid w:val="D77736DF"/>
    <w:rsid w:val="DBFFFA7B"/>
    <w:rsid w:val="DCB388AC"/>
    <w:rsid w:val="DDCC39AE"/>
    <w:rsid w:val="DDE99456"/>
    <w:rsid w:val="DEF71827"/>
    <w:rsid w:val="DF5F4FE3"/>
    <w:rsid w:val="DF6FD821"/>
    <w:rsid w:val="E2EBE074"/>
    <w:rsid w:val="E52DF817"/>
    <w:rsid w:val="E6F84E58"/>
    <w:rsid w:val="E7E7828B"/>
    <w:rsid w:val="E7FE5F6F"/>
    <w:rsid w:val="EBB6CE65"/>
    <w:rsid w:val="EBE70D63"/>
    <w:rsid w:val="EBF4FBCB"/>
    <w:rsid w:val="ECBF9F04"/>
    <w:rsid w:val="ED9E8B4E"/>
    <w:rsid w:val="EDB9F221"/>
    <w:rsid w:val="EEBC1DF0"/>
    <w:rsid w:val="EEFF1522"/>
    <w:rsid w:val="EFE5A90D"/>
    <w:rsid w:val="EFEFF467"/>
    <w:rsid w:val="EFFD3FF8"/>
    <w:rsid w:val="EFFD7F39"/>
    <w:rsid w:val="F0CED9CC"/>
    <w:rsid w:val="F55B6570"/>
    <w:rsid w:val="F6FD9728"/>
    <w:rsid w:val="F77CA136"/>
    <w:rsid w:val="F7FE6584"/>
    <w:rsid w:val="F7FF7E15"/>
    <w:rsid w:val="F83D2CAB"/>
    <w:rsid w:val="F870936C"/>
    <w:rsid w:val="FA7FB993"/>
    <w:rsid w:val="FAD25067"/>
    <w:rsid w:val="FAFF446A"/>
    <w:rsid w:val="FB1EAC5F"/>
    <w:rsid w:val="FB621106"/>
    <w:rsid w:val="FCA2BC36"/>
    <w:rsid w:val="FD6FFDE1"/>
    <w:rsid w:val="FDBEF56D"/>
    <w:rsid w:val="FDF7C7E2"/>
    <w:rsid w:val="FDF7D425"/>
    <w:rsid w:val="FEDD74BF"/>
    <w:rsid w:val="FEFFC0FC"/>
    <w:rsid w:val="FF310DDB"/>
    <w:rsid w:val="FF5FE73A"/>
    <w:rsid w:val="FF7D4A8A"/>
    <w:rsid w:val="FF7E1492"/>
    <w:rsid w:val="FFB7B202"/>
    <w:rsid w:val="FFBE7C3A"/>
    <w:rsid w:val="FFBF161C"/>
    <w:rsid w:val="FFBF93ED"/>
    <w:rsid w:val="FFDA7BA9"/>
    <w:rsid w:val="FFE7F667"/>
    <w:rsid w:val="FFEB7678"/>
    <w:rsid w:val="FFF7306A"/>
    <w:rsid w:val="FFFBBB54"/>
    <w:rsid w:val="FFFD1FEC"/>
    <w:rsid w:val="FFFD8C02"/>
    <w:rsid w:val="FFFEE1B6"/>
    <w:rsid w:val="FFFF71BF"/>
    <w:rsid w:val="FFFFD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snapToGrid w:val="0"/>
      <w:spacing w:line="300" w:lineRule="auto"/>
      <w:ind w:firstLine="556"/>
    </w:pPr>
    <w:rPr>
      <w:rFonts w:ascii="仿宋_GB2312" w:eastAsia="仿宋_GB2312" w:cs="仿宋_GB2312"/>
      <w:kern w:val="0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Emphasis"/>
    <w:basedOn w:val="8"/>
    <w:qFormat/>
    <w:uiPriority w:val="0"/>
    <w:rPr>
      <w:i/>
    </w:rPr>
  </w:style>
  <w:style w:type="character" w:customStyle="1" w:styleId="10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4</Pages>
  <Words>227</Words>
  <Characters>1299</Characters>
  <Lines>10</Lines>
  <Paragraphs>3</Paragraphs>
  <TotalTime>50</TotalTime>
  <ScaleCrop>false</ScaleCrop>
  <LinksUpToDate>false</LinksUpToDate>
  <CharactersWithSpaces>1523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2021-03-05T17:29:00Z</dcterms:created>
  <dc:creator>huyc</dc:creator>
  <cp:lastModifiedBy>迎春</cp:lastModifiedBy>
  <dcterms:modified xsi:type="dcterms:W3CDTF">2024-03-11T10:44:23Z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7FFE27590BA81334390FD865924823BC_42</vt:lpwstr>
  </property>
</Properties>
</file>