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r>
        <w:rPr>
          <w:rFonts w:hint="eastAsia"/>
        </w:rPr>
        <w:t>福建省属</w:t>
      </w:r>
      <w:r>
        <w:t>企业技术创新需求征集表</w:t>
      </w:r>
    </w:p>
    <w:tbl>
      <w:tblPr>
        <w:tblStyle w:val="7"/>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福建省水利投资开发集团有限公司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福建中闽水务投资集团有限公司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宋宝城</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Cs w:val="21"/>
                <w:lang w:val="en-US" w:eastAsia="zh-CN"/>
              </w:rPr>
              <w:t>技术信息部 环保岗/工程师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highlight w:val="none"/>
                <w:lang w:val="en-US" w:eastAsia="zh-CN"/>
              </w:rPr>
            </w:pPr>
            <w:r>
              <w:rPr>
                <w:rFonts w:hint="eastAsia" w:ascii="仿宋_GB2312" w:hAnsi="宋体" w:eastAsia="仿宋_GB2312" w:cs="宋体"/>
                <w:snapToGrid w:val="0"/>
                <w:color w:val="000000"/>
                <w:kern w:val="0"/>
                <w:szCs w:val="21"/>
                <w:highlight w:val="none"/>
                <w:lang w:val="en-US" w:eastAsia="zh-CN"/>
              </w:rPr>
              <w:t>15575933414</w:t>
            </w:r>
          </w:p>
        </w:tc>
        <w:tc>
          <w:tcPr>
            <w:tcW w:w="124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highlight w:val="none"/>
              </w:rPr>
            </w:pPr>
            <w:r>
              <w:rPr>
                <w:rFonts w:hint="eastAsia" w:ascii="仿宋_GB2312" w:hAnsi="宋体" w:eastAsia="仿宋_GB2312" w:cs="宋体"/>
                <w:snapToGrid w:val="0"/>
                <w:color w:val="000000"/>
                <w:kern w:val="0"/>
                <w:szCs w:val="21"/>
                <w:highlight w:val="none"/>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hint="default" w:ascii="仿宋_GB2312" w:hAnsi="宋体" w:eastAsia="仿宋_GB2312" w:cs="宋体"/>
                <w:snapToGrid w:val="0"/>
                <w:color w:val="000000"/>
                <w:kern w:val="0"/>
                <w:szCs w:val="21"/>
                <w:highlight w:val="none"/>
                <w:lang w:val="en-US" w:eastAsia="zh-CN"/>
              </w:rPr>
            </w:pPr>
            <w:r>
              <w:rPr>
                <w:rFonts w:hint="eastAsia" w:ascii="仿宋_GB2312" w:hAnsi="宋体" w:eastAsia="仿宋_GB2312" w:cs="宋体"/>
                <w:snapToGrid w:val="0"/>
                <w:color w:val="000000"/>
                <w:kern w:val="0"/>
                <w:szCs w:val="21"/>
                <w:highlight w:val="none"/>
                <w:lang w:val="en-US" w:eastAsia="zh-CN"/>
              </w:rPr>
              <w:t>875188870@qq.com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FF0000"/>
                <w:kern w:val="0"/>
                <w:szCs w:val="21"/>
              </w:rPr>
            </w:pPr>
            <w:r>
              <w:rPr>
                <w:rFonts w:ascii="仿宋_GB2312" w:hAnsi="宋体" w:eastAsia="仿宋_GB2312" w:cs="宋体"/>
                <w:snapToGrid w:val="0"/>
                <w:color w:val="FF0000"/>
                <w:kern w:val="0"/>
                <w:szCs w:val="21"/>
              </w:rPr>
              <w:t>（建筑废弃物循环利用技术，寻求建筑废弃物破碎、分级、细粒级生产蒸压砖的工艺方案）</w:t>
            </w:r>
          </w:p>
          <w:p>
            <w:pPr>
              <w:spacing w:line="360" w:lineRule="auto"/>
              <w:rPr>
                <w:rFonts w:hint="eastAsia" w:ascii="仿宋_GB2312" w:hAnsi="宋体" w:eastAsia="仿宋_GB2312" w:cs="宋体"/>
                <w:snapToGrid w:val="0"/>
                <w:color w:val="FF0000"/>
                <w:kern w:val="0"/>
                <w:szCs w:val="21"/>
                <w:lang w:eastAsia="zh-CN"/>
              </w:rPr>
            </w:pPr>
            <w:r>
              <w:rPr>
                <w:rFonts w:hint="eastAsia" w:ascii="仿宋_GB2312" w:hAnsi="宋体" w:eastAsia="仿宋_GB2312" w:cs="宋体"/>
                <w:snapToGrid w:val="0"/>
                <w:color w:val="000000" w:themeColor="text1"/>
                <w:kern w:val="0"/>
                <w:szCs w:val="21"/>
                <w:lang w:eastAsia="zh-CN"/>
                <w14:textFill>
                  <w14:solidFill>
                    <w14:schemeClr w14:val="tx1"/>
                  </w14:solidFill>
                </w14:textFill>
              </w:rPr>
              <w:t>低C/N</w:t>
            </w:r>
            <w:r>
              <w:rPr>
                <w:rFonts w:hint="eastAsia" w:ascii="仿宋_GB2312" w:hAnsi="宋体" w:eastAsia="仿宋_GB2312" w:cs="宋体"/>
                <w:snapToGrid w:val="0"/>
                <w:color w:val="000000" w:themeColor="text1"/>
                <w:kern w:val="0"/>
                <w:szCs w:val="21"/>
                <w:lang w:val="en-US" w:eastAsia="zh-CN"/>
                <w14:textFill>
                  <w14:solidFill>
                    <w14:schemeClr w14:val="tx1"/>
                  </w14:solidFill>
                </w14:textFill>
              </w:rPr>
              <w:t>生活污水</w:t>
            </w:r>
            <w:r>
              <w:rPr>
                <w:rFonts w:hint="eastAsia" w:ascii="仿宋_GB2312" w:hAnsi="宋体" w:eastAsia="仿宋_GB2312" w:cs="宋体"/>
                <w:snapToGrid w:val="0"/>
                <w:color w:val="000000" w:themeColor="text1"/>
                <w:kern w:val="0"/>
                <w:szCs w:val="21"/>
                <w:lang w:eastAsia="zh-CN"/>
                <w14:textFill>
                  <w14:solidFill>
                    <w14:schemeClr w14:val="tx1"/>
                  </w14:solidFill>
                </w14:textFill>
              </w:rPr>
              <w:t>脱氮技术，</w:t>
            </w:r>
            <w:r>
              <w:rPr>
                <w:rFonts w:hint="eastAsia" w:ascii="仿宋_GB2312" w:hAnsi="宋体" w:eastAsia="仿宋_GB2312" w:cs="宋体"/>
                <w:snapToGrid w:val="0"/>
                <w:color w:val="000000" w:themeColor="text1"/>
                <w:kern w:val="0"/>
                <w:szCs w:val="21"/>
                <w:lang w:val="en-US" w:eastAsia="zh-CN"/>
                <w14:textFill>
                  <w14:solidFill>
                    <w14:schemeClr w14:val="tx1"/>
                  </w14:solidFill>
                </w14:textFill>
              </w:rPr>
              <w:t>寻求生活污水处理厂进水总氮高、</w:t>
            </w:r>
            <w:r>
              <w:rPr>
                <w:rFonts w:hint="eastAsia" w:ascii="仿宋_GB2312" w:hAnsi="宋体" w:eastAsia="仿宋_GB2312" w:cs="宋体"/>
                <w:snapToGrid w:val="0"/>
                <w:color w:val="000000" w:themeColor="text1"/>
                <w:kern w:val="0"/>
                <w:szCs w:val="21"/>
                <w:lang w:eastAsia="zh-CN"/>
                <w14:textFill>
                  <w14:solidFill>
                    <w14:schemeClr w14:val="tx1"/>
                  </w14:solidFill>
                </w14:textFill>
              </w:rPr>
              <w:t>C/N</w:t>
            </w:r>
            <w:r>
              <w:rPr>
                <w:rFonts w:hint="eastAsia" w:ascii="仿宋_GB2312" w:hAnsi="宋体" w:eastAsia="仿宋_GB2312" w:cs="宋体"/>
                <w:snapToGrid w:val="0"/>
                <w:color w:val="000000" w:themeColor="text1"/>
                <w:kern w:val="0"/>
                <w:szCs w:val="21"/>
                <w:lang w:val="en-US" w:eastAsia="zh-CN"/>
                <w14:textFill>
                  <w14:solidFill>
                    <w14:schemeClr w14:val="tx1"/>
                  </w14:solidFill>
                </w14:textFill>
              </w:rPr>
              <w:t>失衡条件下低成本脱氮工艺方案</w:t>
            </w:r>
            <w:r>
              <w:rPr>
                <w:rFonts w:hint="eastAsia" w:ascii="仿宋_GB2312" w:hAnsi="宋体" w:eastAsia="仿宋_GB2312" w:cs="宋体"/>
                <w:snapToGrid w:val="0"/>
                <w:color w:val="000000" w:themeColor="text1"/>
                <w:kern w:val="0"/>
                <w:szCs w:val="21"/>
                <w:lang w:eastAsia="zh-CN"/>
                <w14:textFill>
                  <w14:solidFill>
                    <w14:schemeClr w14:val="tx1"/>
                  </w14:solidFill>
                </w14:textFill>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新产品开发        □ 产品升级换代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生产线技术改造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制造工艺改进      □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sym w:font="Wingdings 2" w:char="0052"/>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highlight w:val="none"/>
              </w:rPr>
            </w:pPr>
            <w:r>
              <w:rPr>
                <w:rFonts w:ascii="仿宋_GB2312" w:hAnsi="宋体" w:eastAsia="仿宋_GB2312" w:cs="宋体"/>
                <w:snapToGrid w:val="0"/>
                <w:color w:val="000000"/>
                <w:kern w:val="0"/>
                <w:szCs w:val="21"/>
                <w:highlight w:val="none"/>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highlight w:val="none"/>
              </w:rPr>
            </w:pPr>
            <w:r>
              <w:rPr>
                <w:rFonts w:ascii="仿宋_GB2312" w:hAnsi="宋体" w:eastAsia="仿宋_GB2312" w:cs="宋体"/>
                <w:snapToGrid w:val="0"/>
                <w:color w:val="FF0000"/>
                <w:kern w:val="0"/>
                <w:szCs w:val="21"/>
                <w:highlight w:val="none"/>
              </w:rPr>
              <w:t xml:space="preserve"> </w:t>
            </w:r>
            <w:r>
              <w:rPr>
                <w:rFonts w:hint="eastAsia" w:ascii="仿宋_GB2312" w:hAnsi="宋体" w:eastAsia="仿宋_GB2312" w:cs="宋体"/>
                <w:snapToGrid w:val="0"/>
                <w:color w:val="FF0000"/>
                <w:kern w:val="0"/>
                <w:szCs w:val="21"/>
                <w:highlight w:val="none"/>
                <w:lang w:val="en-US" w:eastAsia="zh-CN"/>
              </w:rPr>
              <w:t>根据解决方案需要及投入产出比视情况而定</w:t>
            </w:r>
            <w:r>
              <w:rPr>
                <w:rFonts w:ascii="仿宋_GB2312" w:hAnsi="宋体" w:eastAsia="仿宋_GB2312" w:cs="宋体"/>
                <w:snapToGrid w:val="0"/>
                <w:color w:val="FF0000"/>
                <w:kern w:val="0"/>
                <w:szCs w:val="21"/>
                <w:highlight w:val="none"/>
              </w:rPr>
              <w:t xml:space="preserve">  </w:t>
            </w:r>
            <w:r>
              <w:rPr>
                <w:rFonts w:ascii="仿宋_GB2312" w:hAnsi="宋体" w:eastAsia="仿宋_GB2312" w:cs="宋体"/>
                <w:snapToGrid w:val="0"/>
                <w:color w:val="000000"/>
                <w:kern w:val="0"/>
                <w:szCs w:val="21"/>
                <w:highlight w:val="none"/>
              </w:rPr>
              <w:t xml:space="preserve">（单位万元）  </w:t>
            </w:r>
          </w:p>
        </w:tc>
      </w:tr>
    </w:tbl>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br w:type="page"/>
      </w:r>
    </w:p>
    <w:tbl>
      <w:tblPr>
        <w:tblStyle w:val="7"/>
        <w:tblpPr w:leftFromText="180" w:rightFromText="180" w:vertAnchor="text" w:tblpY="1"/>
        <w:tblOverlap w:val="never"/>
        <w:tblW w:w="8720"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58"/>
        <w:gridCol w:w="726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4633" w:hRule="atLeast"/>
        </w:trPr>
        <w:tc>
          <w:tcPr>
            <w:tcW w:w="1458"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62" w:type="dxa"/>
            <w:tcBorders>
              <w:tl2br w:val="nil"/>
              <w:tr2bl w:val="nil"/>
            </w:tcBorders>
            <w:tcMar>
              <w:top w:w="0" w:type="dxa"/>
              <w:left w:w="108" w:type="dxa"/>
              <w:bottom w:w="0" w:type="dxa"/>
              <w:right w:w="108" w:type="dxa"/>
            </w:tcMar>
          </w:tcPr>
          <w:p>
            <w:pPr>
              <w:spacing w:line="360" w:lineRule="auto"/>
              <w:rPr>
                <w:rFonts w:hint="eastAsia" w:ascii="仿宋_GB2312" w:hAnsi="宋体" w:eastAsia="仿宋_GB2312" w:cs="宋体"/>
                <w:snapToGrid w:val="0"/>
                <w:color w:val="FF0000"/>
                <w:kern w:val="0"/>
                <w:szCs w:val="21"/>
              </w:rPr>
            </w:pPr>
            <w:r>
              <w:rPr>
                <w:rFonts w:hint="eastAsia" w:ascii="仿宋_GB2312" w:hAnsi="宋体" w:eastAsia="仿宋_GB2312" w:cs="宋体"/>
                <w:snapToGrid w:val="0"/>
                <w:color w:val="FF0000"/>
                <w:kern w:val="0"/>
                <w:szCs w:val="21"/>
              </w:rPr>
              <w:t>精准描述所要解决的技术问题、</w:t>
            </w:r>
            <w:r>
              <w:rPr>
                <w:rFonts w:ascii="仿宋_GB2312" w:hAnsi="宋体" w:eastAsia="仿宋_GB2312" w:cs="宋体"/>
                <w:snapToGrid w:val="0"/>
                <w:color w:val="FF0000"/>
                <w:kern w:val="0"/>
                <w:szCs w:val="21"/>
              </w:rPr>
              <w:t>技术需求要点、</w:t>
            </w:r>
            <w:r>
              <w:rPr>
                <w:rFonts w:hint="eastAsia" w:ascii="仿宋_GB2312" w:hAnsi="宋体" w:eastAsia="仿宋_GB2312" w:cs="宋体"/>
                <w:snapToGrid w:val="0"/>
                <w:color w:val="FF0000"/>
                <w:kern w:val="0"/>
                <w:szCs w:val="21"/>
              </w:rPr>
              <w:t>预期达到的效果（技术指标、规格等）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420" w:lineRule="atLeast"/>
              <w:ind w:right="0" w:firstLine="420" w:firstLineChars="200"/>
              <w:jc w:val="both"/>
              <w:rPr>
                <w:rFonts w:hint="default" w:ascii="仿宋_GB2312" w:hAnsi="宋体" w:eastAsia="仿宋_GB2312" w:cs="宋体"/>
                <w:snapToGrid w:val="0"/>
                <w:color w:val="000000"/>
                <w:kern w:val="0"/>
                <w:szCs w:val="21"/>
                <w:lang w:val="en-US" w:eastAsia="zh-CN"/>
              </w:rPr>
            </w:pPr>
            <w:r>
              <w:rPr>
                <w:rFonts w:hint="eastAsia" w:ascii="仿宋_GB2312" w:hAnsi="宋体" w:eastAsia="仿宋_GB2312" w:cs="宋体"/>
                <w:snapToGrid w:val="0"/>
                <w:color w:val="000000"/>
                <w:kern w:val="0"/>
                <w:sz w:val="21"/>
                <w:szCs w:val="21"/>
                <w:lang w:val="en-US" w:eastAsia="zh-CN" w:bidi="ar-SA"/>
              </w:rPr>
              <w:t>我司运营的沿海生活污水处理厂普遍存在进水总氮高、C/N偏低（BOD/TN约1.5-2.2）导致生物反硝化效果不理想，而需外加碳源（冰醋酸投加量45mg/L-70mg/L）的情况；外加碳源不仅造成污水厂运营成本增加，更是存在如增加污泥产量、固体碳源投加劳动强度大、增大碳排放量等问题。现拟寻求进水C/N比失衡条件下低成本脱氮工艺方案，实现在保证TN达标条件下，不加碳源或少加碳源，助力污水厂降本增效。</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5317" w:hRule="atLeast"/>
        </w:trPr>
        <w:tc>
          <w:tcPr>
            <w:tcW w:w="1458"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62" w:type="dxa"/>
            <w:tcBorders>
              <w:tl2br w:val="nil"/>
              <w:tr2bl w:val="nil"/>
            </w:tcBorders>
            <w:tcMar>
              <w:top w:w="0" w:type="dxa"/>
              <w:left w:w="108" w:type="dxa"/>
              <w:bottom w:w="0" w:type="dxa"/>
              <w:right w:w="108" w:type="dxa"/>
            </w:tcMar>
          </w:tcPr>
          <w:p>
            <w:pPr>
              <w:spacing w:line="360" w:lineRule="auto"/>
              <w:rPr>
                <w:rFonts w:hint="eastAsia" w:ascii="仿宋_GB2312" w:hAnsi="宋体" w:eastAsia="仿宋_GB2312" w:cs="宋体"/>
                <w:snapToGrid w:val="0"/>
                <w:color w:val="FF0000"/>
                <w:kern w:val="0"/>
                <w:szCs w:val="21"/>
              </w:rPr>
            </w:pPr>
            <w:bookmarkStart w:id="0" w:name="_GoBack"/>
            <w:bookmarkEnd w:id="0"/>
            <w:r>
              <w:rPr>
                <w:rFonts w:hint="eastAsia" w:ascii="仿宋_GB2312" w:hAnsi="宋体" w:eastAsia="仿宋_GB2312" w:cs="宋体"/>
                <w:snapToGrid w:val="0"/>
                <w:color w:val="000000"/>
                <w:kern w:val="0"/>
                <w:szCs w:val="21"/>
              </w:rPr>
              <w:t>福建中闽水务投资集团有限公司（以下简称“公司”）成立于1993年，是福建省国资委重要子企业及福建省水利投资开发集团有限公司的全资子企业。公司涉及原水和自来水供应、污水处理、水环境综合治理、垃圾处理及市政工程建设、水质检测等业务，构建了“水务、环保、工程”三大业务板块协同发展、“投、建、管、运”一体化的战略格局，被福建省政府列为全省乡镇污水处理设施投资建设主体，供水、污水工程包牵头推进单位，入选福建省重点上市后备企业（培育层）。</w:t>
            </w:r>
            <w:r>
              <w:rPr>
                <w:rFonts w:hint="eastAsia" w:ascii="仿宋_GB2312" w:hAnsi="宋体" w:eastAsia="仿宋_GB2312" w:cs="宋体"/>
                <w:snapToGrid w:val="0"/>
                <w:color w:val="000000"/>
                <w:kern w:val="0"/>
                <w:szCs w:val="21"/>
                <w:lang w:val="en-US" w:eastAsia="zh-CN"/>
              </w:rPr>
              <w:t>近</w:t>
            </w:r>
            <w:r>
              <w:rPr>
                <w:rFonts w:hint="eastAsia" w:ascii="仿宋_GB2312" w:hAnsi="宋体" w:eastAsia="仿宋_GB2312" w:cs="宋体"/>
                <w:snapToGrid w:val="0"/>
                <w:color w:val="000000"/>
                <w:kern w:val="0"/>
                <w:szCs w:val="21"/>
              </w:rPr>
              <w:t>十年来，公司在福建省投资布局项目超56亿元，拥有主要全资及参控股企业22家，水处理能力300万吨/日。未来，公司将继续围绕主业，继续做强做优做大，不断朝着区域一流的具有全国品牌影响力的水务综合服务商迈进，为奋力谱写全面建设社会主义现代化国家福建篇章贡献力量。</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337" w:hRule="atLeast"/>
        </w:trPr>
        <w:tc>
          <w:tcPr>
            <w:tcW w:w="1458"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6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lang w:eastAsia="zh-CN"/>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PrEx>
        <w:trPr>
          <w:trHeight w:val="1704" w:hRule="atLeast"/>
        </w:trPr>
        <w:tc>
          <w:tcPr>
            <w:tcW w:w="1458"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62"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C5849C"/>
    <w:rsid w:val="009238C1"/>
    <w:rsid w:val="0099152C"/>
    <w:rsid w:val="00A451A4"/>
    <w:rsid w:val="07D93D36"/>
    <w:rsid w:val="0DEAB020"/>
    <w:rsid w:val="0F0B5A8B"/>
    <w:rsid w:val="0FDFF58D"/>
    <w:rsid w:val="19FD90B4"/>
    <w:rsid w:val="1BEF7C95"/>
    <w:rsid w:val="1D8F49B9"/>
    <w:rsid w:val="1EE1C420"/>
    <w:rsid w:val="23D76DCE"/>
    <w:rsid w:val="26F97CEF"/>
    <w:rsid w:val="27FEAB5C"/>
    <w:rsid w:val="2A146DBD"/>
    <w:rsid w:val="2A1BFCBE"/>
    <w:rsid w:val="2B0E5ED5"/>
    <w:rsid w:val="2B5FE633"/>
    <w:rsid w:val="2BEFDBA1"/>
    <w:rsid w:val="2F7B1FBA"/>
    <w:rsid w:val="33F33D11"/>
    <w:rsid w:val="36DC10F4"/>
    <w:rsid w:val="37BBD2BF"/>
    <w:rsid w:val="37FE6E18"/>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B10316"/>
    <w:rsid w:val="44E51E7B"/>
    <w:rsid w:val="4C750731"/>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BFFD4C3"/>
    <w:rsid w:val="6E3E3E63"/>
    <w:rsid w:val="6F2C0081"/>
    <w:rsid w:val="6F6968F7"/>
    <w:rsid w:val="6FB19D06"/>
    <w:rsid w:val="70F76502"/>
    <w:rsid w:val="718132D3"/>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DB671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9B2998"/>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7B5F49"/>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3</Pages>
  <Words>199</Words>
  <Characters>1140</Characters>
  <Lines>9</Lines>
  <Paragraphs>2</Paragraphs>
  <TotalTime>14</TotalTime>
  <ScaleCrop>false</ScaleCrop>
  <LinksUpToDate>false</LinksUpToDate>
  <CharactersWithSpaces>1337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2021-03-05T09:29:00Z</dcterms:created>
  <dc:creator>huyc</dc:creator>
  <cp:lastModifiedBy>迎春</cp:lastModifiedBy>
  <dcterms:modified xsi:type="dcterms:W3CDTF">2024-03-11T10:45:23Z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7FFE27590BA81334390FD865924823BC_42</vt:lpwstr>
  </property>
</Properties>
</file>