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福建省属</w:t>
      </w:r>
      <w:r>
        <w:t>企业技术创新需求征集表</w:t>
      </w:r>
    </w:p>
    <w:tbl>
      <w:tblPr>
        <w:tblStyle w:val="7"/>
        <w:tblpPr w:leftFromText="180" w:rightFromText="180" w:vertAnchor="text" w:tblpY="1"/>
        <w:tblOverlap w:val="never"/>
        <w:tblW w:w="8765" w:type="dxa"/>
        <w:tblInd w:w="0" w:type="dxa"/>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Layout w:type="fixed"/>
        <w:tblCellMar>
          <w:top w:w="0" w:type="dxa"/>
          <w:left w:w="108" w:type="dxa"/>
          <w:bottom w:w="0" w:type="dxa"/>
          <w:right w:w="108" w:type="dxa"/>
        </w:tblCellMar>
      </w:tblPr>
      <w:tblGrid>
        <w:gridCol w:w="1466"/>
        <w:gridCol w:w="3221"/>
        <w:gridCol w:w="1246"/>
        <w:gridCol w:w="2832"/>
      </w:tblGrid>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所属集团</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福建省冶金（控股）有限责任公司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90"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企业名称</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福建源通新材料有限公司</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495"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负责人</w:t>
            </w:r>
          </w:p>
        </w:tc>
        <w:tc>
          <w:tcPr>
            <w:tcW w:w="3221"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简双鹏</w:t>
            </w:r>
          </w:p>
        </w:tc>
        <w:tc>
          <w:tcPr>
            <w:tcW w:w="124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职务/职称</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技术部经理</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手机</w:t>
            </w:r>
          </w:p>
        </w:tc>
        <w:tc>
          <w:tcPr>
            <w:tcW w:w="3221"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18779930127</w:t>
            </w:r>
          </w:p>
        </w:tc>
        <w:tc>
          <w:tcPr>
            <w:tcW w:w="124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邮箱</w:t>
            </w:r>
          </w:p>
        </w:tc>
        <w:tc>
          <w:tcPr>
            <w:tcW w:w="2832"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Jian.shuangping@cxtc.com</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cantSplit/>
          <w:trHeight w:val="57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需求标题</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auto"/>
                <w:kern w:val="0"/>
                <w:sz w:val="21"/>
                <w:szCs w:val="21"/>
              </w:rPr>
              <w:t>稀土永磁废旧料回收再利用新技术</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5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所属领域</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新一代信息技术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新材料        □ 高端装备制造  □ 化学化工</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新能源与节能环保  □ 航空航天技术  □ 现代海洋      □ 生物医药</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交通规划与运输    □ 电子信息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67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需求类型</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专利购买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技术难题解决   □ 新技术开发    □ 投资融资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技术储备    □ 专业人才需求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52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需求缘由</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新产品开发        □ 产品升级换代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生产线技术改造 </w:t>
            </w:r>
          </w:p>
          <w:p>
            <w:pPr>
              <w:spacing w:line="360" w:lineRule="auto"/>
              <w:rPr>
                <w:rFonts w:hint="eastAsia" w:ascii="宋体" w:hAnsi="宋体" w:eastAsia="宋体" w:cs="宋体"/>
                <w:snapToGrid w:val="0"/>
                <w:color w:val="000000"/>
                <w:kern w:val="0"/>
                <w:sz w:val="21"/>
                <w:szCs w:val="21"/>
              </w:rPr>
            </w:pP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制造工艺改进      □ 制造装备改进       □ 其他________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42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合作方式</w:t>
            </w:r>
          </w:p>
        </w:tc>
        <w:tc>
          <w:tcPr>
            <w:tcW w:w="7299" w:type="dxa"/>
            <w:gridSpan w:val="3"/>
            <w:tcBorders>
              <w:tl2br w:val="nil"/>
              <w:tr2bl w:val="nil"/>
            </w:tcBorders>
            <w:tcMar>
              <w:top w:w="0" w:type="dxa"/>
              <w:left w:w="108" w:type="dxa"/>
              <w:bottom w:w="0" w:type="dxa"/>
              <w:right w:w="108" w:type="dxa"/>
            </w:tcMar>
            <w:vAlign w:val="center"/>
          </w:tcPr>
          <w:p>
            <w:pPr>
              <w:adjustRightInd w:val="0"/>
              <w:snapToGrid w:val="0"/>
              <w:spacing w:line="240" w:lineRule="atLeast"/>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股权投资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技术转让    □ 许可使用    □ 合作开发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合作兴办新企业    □ 其他__________</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08"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拟投入金额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auto"/>
                <w:kern w:val="0"/>
                <w:sz w:val="21"/>
                <w:szCs w:val="21"/>
              </w:rPr>
              <w:t xml:space="preserve">150 </w:t>
            </w:r>
            <w:r>
              <w:rPr>
                <w:rFonts w:hint="eastAsia" w:ascii="宋体" w:hAnsi="宋体" w:eastAsia="宋体" w:cs="宋体"/>
                <w:snapToGrid w:val="0"/>
                <w:color w:val="FF0000"/>
                <w:kern w:val="0"/>
                <w:sz w:val="21"/>
                <w:szCs w:val="21"/>
              </w:rPr>
              <w:t xml:space="preserve">  </w:t>
            </w:r>
            <w:r>
              <w:rPr>
                <w:rFonts w:hint="eastAsia" w:ascii="宋体" w:hAnsi="宋体" w:eastAsia="宋体" w:cs="宋体"/>
                <w:snapToGrid w:val="0"/>
                <w:color w:val="000000"/>
                <w:kern w:val="0"/>
                <w:sz w:val="21"/>
                <w:szCs w:val="21"/>
              </w:rPr>
              <w:t xml:space="preserve">（单位万元）  </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3386"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需求描述</w:t>
            </w:r>
          </w:p>
        </w:tc>
        <w:tc>
          <w:tcPr>
            <w:tcW w:w="7299" w:type="dxa"/>
            <w:gridSpan w:val="3"/>
            <w:tcBorders>
              <w:tl2br w:val="nil"/>
              <w:tr2bl w:val="nil"/>
            </w:tcBorders>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回收NdFeB废料的有价金属元素，主要PrNd、Gd、Tb、Dy、Ho及Co、Ga等金属元素，并且Fe,B实现资源化回收，具体指标如下：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1.稀土氧化物回收率＞97.5%,Co回收率＞90%，Ga回收率＞85%</w:t>
            </w:r>
            <w:r>
              <w:rPr>
                <w:rFonts w:hint="eastAsia" w:ascii="宋体" w:hAnsi="宋体" w:cs="宋体"/>
                <w:kern w:val="0"/>
                <w:sz w:val="21"/>
                <w:szCs w:val="21"/>
                <w:lang w:eastAsia="zh-CN"/>
              </w:rPr>
              <w:t>；</w:t>
            </w:r>
          </w:p>
          <w:p>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2.稀土氧化物纯度，99.5%PrNd,99.5%Gd，99.5%Dy，99.5%Ho，99.99%Tb.Co富集物Co＞25%，99.999%Ga</w:t>
            </w:r>
            <w:r>
              <w:rPr>
                <w:rFonts w:hint="eastAsia" w:ascii="宋体" w:hAnsi="宋体" w:eastAsia="宋体" w:cs="宋体"/>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val="0"/>
                <w:color w:val="000000"/>
                <w:kern w:val="0"/>
                <w:sz w:val="21"/>
                <w:szCs w:val="21"/>
                <w:lang w:eastAsia="zh-CN"/>
              </w:rPr>
            </w:pPr>
            <w:r>
              <w:rPr>
                <w:rFonts w:hint="eastAsia" w:ascii="宋体" w:hAnsi="宋体" w:eastAsia="宋体" w:cs="宋体"/>
                <w:kern w:val="0"/>
                <w:sz w:val="21"/>
                <w:szCs w:val="21"/>
              </w:rPr>
              <w:t>3.Fe、B等金属资源化</w:t>
            </w:r>
            <w:r>
              <w:rPr>
                <w:rFonts w:hint="eastAsia" w:ascii="宋体" w:hAnsi="宋体" w:cs="宋体"/>
                <w:kern w:val="0"/>
                <w:sz w:val="21"/>
                <w:szCs w:val="21"/>
                <w:lang w:eastAsia="zh-CN"/>
              </w:rPr>
              <w:t>。</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4923"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企业简介</w:t>
            </w:r>
          </w:p>
        </w:tc>
        <w:tc>
          <w:tcPr>
            <w:tcW w:w="7299" w:type="dxa"/>
            <w:gridSpan w:val="3"/>
            <w:tcBorders>
              <w:tl2br w:val="nil"/>
              <w:tr2bl w:val="nil"/>
            </w:tcBorders>
            <w:tcMar>
              <w:top w:w="0" w:type="dxa"/>
              <w:left w:w="108" w:type="dxa"/>
              <w:bottom w:w="0" w:type="dxa"/>
              <w:right w:w="108" w:type="dxa"/>
            </w:tcMar>
          </w:tcPr>
          <w:p>
            <w:pPr>
              <w:shd w:val="clear" w:color="auto" w:fill="FFFFFF"/>
              <w:spacing w:after="156" w:afterLines="50"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源通新材料依托厦门钨业和金龙稀土雄厚的研发技术优势和装备优势，结合IPD、IAM理念，采用先进的焙烧、连续沉淀等技术，以及设备自动化和智能化设计，开发先进的工艺和设备，实现低碳绿色制造；同时，将积极开展非稀土类有价金属回收技术开发，提高资源回收利用价值；并依托厦门钨业和金龙稀土产业链优势与上下游金属、磁材、以及各工业应用企业展开战略合作，开展工业电机、风力电机、新能源汽车电机等永磁电机拆解，创新梯次利用，提升资源循环利用效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val="0"/>
                <w:color w:val="000000"/>
                <w:kern w:val="0"/>
                <w:sz w:val="21"/>
                <w:szCs w:val="21"/>
              </w:rPr>
            </w:pPr>
            <w:r>
              <w:rPr>
                <w:rFonts w:hint="eastAsia" w:ascii="宋体" w:hAnsi="宋体" w:eastAsia="宋体" w:cs="宋体"/>
                <w:kern w:val="0"/>
                <w:sz w:val="21"/>
                <w:szCs w:val="21"/>
              </w:rPr>
              <w:t>源通新材料建成后，</w:t>
            </w:r>
            <w:r>
              <w:rPr>
                <w:rFonts w:hint="eastAsia" w:ascii="宋体" w:hAnsi="宋体" w:eastAsia="宋体" w:cs="宋体"/>
                <w:bCs/>
                <w:spacing w:val="8"/>
                <w:kern w:val="0"/>
                <w:sz w:val="21"/>
                <w:szCs w:val="21"/>
              </w:rPr>
              <w:t>前处理新技术能源回收，综合利用余热年产蒸汽4万吨，年减排</w:t>
            </w:r>
            <w:r>
              <w:rPr>
                <w:rFonts w:hint="eastAsia" w:ascii="宋体" w:hAnsi="宋体" w:eastAsia="宋体" w:cs="宋体"/>
                <w:color w:val="333333"/>
                <w:kern w:val="0"/>
                <w:sz w:val="21"/>
                <w:szCs w:val="21"/>
                <w:shd w:val="clear" w:color="auto" w:fill="FFFFFF"/>
              </w:rPr>
              <w:t>CO₂</w:t>
            </w:r>
            <w:r>
              <w:rPr>
                <w:rFonts w:hint="eastAsia" w:ascii="宋体" w:hAnsi="宋体" w:eastAsia="宋体" w:cs="宋体"/>
                <w:bCs/>
                <w:spacing w:val="8"/>
                <w:kern w:val="0"/>
                <w:sz w:val="21"/>
                <w:szCs w:val="21"/>
              </w:rPr>
              <w:t>达0.6万吨，节约0.3万吨标煤；</w:t>
            </w:r>
            <w:r>
              <w:rPr>
                <w:rFonts w:hint="eastAsia" w:ascii="宋体" w:hAnsi="宋体" w:eastAsia="宋体" w:cs="宋体"/>
                <w:bCs/>
                <w:kern w:val="0"/>
                <w:sz w:val="21"/>
                <w:szCs w:val="21"/>
              </w:rPr>
              <w:t>产出约0.6万吨稀有金属，</w:t>
            </w:r>
            <w:r>
              <w:rPr>
                <w:rFonts w:hint="eastAsia" w:ascii="宋体" w:hAnsi="宋体" w:eastAsia="宋体" w:cs="宋体"/>
                <w:kern w:val="0"/>
                <w:sz w:val="21"/>
                <w:szCs w:val="21"/>
              </w:rPr>
              <w:t>折合每年少开发南方离子矿约2万吨或北方轻稀土矿约2.7万吨，极大减少对不可再生原矿资源的开采，保护了青山绿水</w:t>
            </w:r>
            <w:r>
              <w:rPr>
                <w:rFonts w:hint="eastAsia" w:ascii="宋体" w:hAnsi="宋体" w:eastAsia="宋体" w:cs="宋体"/>
                <w:bCs/>
                <w:kern w:val="0"/>
                <w:sz w:val="21"/>
                <w:szCs w:val="21"/>
              </w:rPr>
              <w:t>，具有重大的社会价值；同时</w:t>
            </w:r>
            <w:r>
              <w:rPr>
                <w:rFonts w:hint="eastAsia" w:ascii="宋体" w:hAnsi="宋体" w:eastAsia="宋体" w:cs="宋体"/>
                <w:kern w:val="0"/>
                <w:sz w:val="21"/>
                <w:szCs w:val="21"/>
              </w:rPr>
              <w:t>，将提供200余个就业岗位</w:t>
            </w:r>
            <w:r>
              <w:rPr>
                <w:rFonts w:hint="eastAsia" w:ascii="宋体" w:hAnsi="宋体" w:eastAsia="宋体" w:cs="宋体"/>
                <w:bCs/>
                <w:kern w:val="0"/>
                <w:sz w:val="21"/>
                <w:szCs w:val="21"/>
              </w:rPr>
              <w:t>，产值达40亿元人民币以上，年纳税约1亿，具有极大的经济价值。</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319"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企业上年度销售额</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xml:space="preserve">□ 1000万以下 </w:t>
            </w:r>
            <w:r>
              <w:rPr>
                <w:rFonts w:hint="eastAsia" w:ascii="宋体" w:hAnsi="宋体" w:cs="宋体"/>
                <w:snapToGrid w:val="0"/>
                <w:color w:val="000000"/>
                <w:kern w:val="0"/>
                <w:sz w:val="21"/>
                <w:szCs w:val="21"/>
                <w:lang w:val="en-US" w:eastAsia="zh-CN"/>
              </w:rPr>
              <w:t xml:space="preserve"> </w:t>
            </w:r>
            <w:r>
              <w:rPr>
                <w:rFonts w:hint="eastAsia" w:ascii="宋体" w:hAnsi="宋体" w:cs="宋体"/>
                <w:snapToGrid w:val="0"/>
                <w:color w:val="000000"/>
                <w:kern w:val="0"/>
                <w:sz w:val="21"/>
                <w:szCs w:val="21"/>
                <w:lang w:eastAsia="zh-CN"/>
              </w:rPr>
              <w:t>☑</w:t>
            </w:r>
            <w:r>
              <w:rPr>
                <w:rFonts w:hint="eastAsia" w:ascii="宋体" w:hAnsi="宋体" w:eastAsia="宋体" w:cs="宋体"/>
                <w:snapToGrid w:val="0"/>
                <w:color w:val="000000"/>
                <w:kern w:val="0"/>
                <w:sz w:val="21"/>
                <w:szCs w:val="21"/>
              </w:rPr>
              <w:t xml:space="preserve">  1000万-5000万   □ 5000万-1亿  </w:t>
            </w:r>
          </w:p>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 1亿-2亿     □ 2亿以上</w:t>
            </w:r>
          </w:p>
        </w:tc>
      </w:tr>
      <w:tr>
        <w:tblPrEx>
          <w:tblBorders>
            <w:top w:val="single" w:color="7E7E7E" w:themeColor="background1" w:themeShade="7F" w:sz="4" w:space="0"/>
            <w:left w:val="single" w:color="7E7E7E" w:themeColor="background1" w:themeShade="7F" w:sz="4" w:space="0"/>
            <w:bottom w:val="single" w:color="7E7E7E" w:themeColor="background1" w:themeShade="7F" w:sz="4" w:space="0"/>
            <w:right w:val="single" w:color="7E7E7E" w:themeColor="background1" w:themeShade="7F" w:sz="4" w:space="0"/>
            <w:insideH w:val="single" w:color="7E7E7E" w:themeColor="background1" w:themeShade="7F" w:sz="4" w:space="0"/>
            <w:insideV w:val="single" w:color="7E7E7E" w:themeColor="background1" w:themeShade="7F" w:sz="4" w:space="0"/>
          </w:tblBorders>
          <w:tblCellMar>
            <w:top w:w="0" w:type="dxa"/>
            <w:left w:w="108" w:type="dxa"/>
            <w:bottom w:w="0" w:type="dxa"/>
            <w:right w:w="108" w:type="dxa"/>
          </w:tblCellMar>
        </w:tblPrEx>
        <w:trPr>
          <w:trHeight w:val="1812" w:hRule="atLeast"/>
        </w:trPr>
        <w:tc>
          <w:tcPr>
            <w:tcW w:w="1466" w:type="dxa"/>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000000"/>
                <w:kern w:val="0"/>
                <w:sz w:val="21"/>
                <w:szCs w:val="21"/>
              </w:rPr>
            </w:pPr>
            <w:r>
              <w:rPr>
                <w:rFonts w:hint="eastAsia" w:ascii="宋体" w:hAnsi="宋体" w:eastAsia="宋体" w:cs="宋体"/>
                <w:snapToGrid w:val="0"/>
                <w:color w:val="000000"/>
                <w:kern w:val="0"/>
                <w:sz w:val="21"/>
                <w:szCs w:val="21"/>
              </w:rPr>
              <w:t>补充材料</w:t>
            </w:r>
          </w:p>
        </w:tc>
        <w:tc>
          <w:tcPr>
            <w:tcW w:w="7299" w:type="dxa"/>
            <w:gridSpan w:val="3"/>
            <w:tcBorders>
              <w:tl2br w:val="nil"/>
              <w:tr2bl w:val="nil"/>
            </w:tcBorders>
            <w:tcMar>
              <w:top w:w="0" w:type="dxa"/>
              <w:left w:w="108" w:type="dxa"/>
              <w:bottom w:w="0" w:type="dxa"/>
              <w:right w:w="108" w:type="dxa"/>
            </w:tcMar>
            <w:vAlign w:val="center"/>
          </w:tcPr>
          <w:p>
            <w:pPr>
              <w:spacing w:line="360" w:lineRule="auto"/>
              <w:rPr>
                <w:rFonts w:hint="eastAsia" w:ascii="宋体" w:hAnsi="宋体" w:eastAsia="宋体" w:cs="宋体"/>
                <w:snapToGrid w:val="0"/>
                <w:color w:val="FF0000"/>
                <w:kern w:val="0"/>
                <w:sz w:val="21"/>
                <w:szCs w:val="21"/>
                <w:lang w:val="en-US" w:eastAsia="zh-CN"/>
              </w:rPr>
            </w:pPr>
            <w:bookmarkStart w:id="0" w:name="_GoBack"/>
            <w:bookmarkEnd w:id="0"/>
            <w:r>
              <w:rPr>
                <w:rFonts w:hint="eastAsia" w:ascii="宋体" w:hAnsi="宋体" w:cs="宋体"/>
                <w:snapToGrid w:val="0"/>
                <w:color w:val="auto"/>
                <w:kern w:val="0"/>
                <w:sz w:val="21"/>
                <w:szCs w:val="21"/>
                <w:lang w:val="en-US" w:eastAsia="zh-CN"/>
              </w:rPr>
              <w:t>无</w:t>
            </w:r>
          </w:p>
        </w:tc>
      </w:tr>
    </w:tbl>
    <w:p>
      <w:pPr>
        <w:spacing w:line="360" w:lineRule="auto"/>
        <w:rPr>
          <w:rFonts w:ascii="仿宋_GB2312" w:hAnsi="宋体" w:eastAsia="仿宋_GB2312" w:cs="宋体"/>
          <w:snapToGrid w:val="0"/>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EwNTM5NzYwMDRjMzkwZTVkZjY2ODkwMGIxNGU0OTUifQ=="/>
  </w:docVars>
  <w:rsids>
    <w:rsidRoot w:val="5EC5849C"/>
    <w:rsid w:val="001F4668"/>
    <w:rsid w:val="007E1334"/>
    <w:rsid w:val="009238C1"/>
    <w:rsid w:val="0099152C"/>
    <w:rsid w:val="00A451A4"/>
    <w:rsid w:val="0BAB0918"/>
    <w:rsid w:val="0DEAB020"/>
    <w:rsid w:val="0FDFF58D"/>
    <w:rsid w:val="19FD90B4"/>
    <w:rsid w:val="1BEF7C95"/>
    <w:rsid w:val="1D8F49B9"/>
    <w:rsid w:val="1EE1C420"/>
    <w:rsid w:val="23D76DCE"/>
    <w:rsid w:val="27FEAB5C"/>
    <w:rsid w:val="2A1BFCBE"/>
    <w:rsid w:val="2B0E5ED5"/>
    <w:rsid w:val="2B5FE633"/>
    <w:rsid w:val="2BEFDBA1"/>
    <w:rsid w:val="2F7B1FBA"/>
    <w:rsid w:val="33F33D11"/>
    <w:rsid w:val="36DC10F4"/>
    <w:rsid w:val="37BBD2BF"/>
    <w:rsid w:val="37FFAB54"/>
    <w:rsid w:val="390F1A43"/>
    <w:rsid w:val="39D70EAF"/>
    <w:rsid w:val="3AAE9D6C"/>
    <w:rsid w:val="3B6DFE67"/>
    <w:rsid w:val="3BCE1E21"/>
    <w:rsid w:val="3DF7581E"/>
    <w:rsid w:val="3E5D4294"/>
    <w:rsid w:val="3EE4CE4D"/>
    <w:rsid w:val="3EEBB9C5"/>
    <w:rsid w:val="3EF7194D"/>
    <w:rsid w:val="3EFF1C42"/>
    <w:rsid w:val="3FBFE549"/>
    <w:rsid w:val="3FD75BCD"/>
    <w:rsid w:val="3FE7AD24"/>
    <w:rsid w:val="3FFE98E2"/>
    <w:rsid w:val="3FFF1896"/>
    <w:rsid w:val="3FFF590C"/>
    <w:rsid w:val="41FBA6CE"/>
    <w:rsid w:val="437EB5A4"/>
    <w:rsid w:val="44E51E7B"/>
    <w:rsid w:val="4D1D1250"/>
    <w:rsid w:val="53FC451B"/>
    <w:rsid w:val="56ABB321"/>
    <w:rsid w:val="579DB03C"/>
    <w:rsid w:val="58E23BA3"/>
    <w:rsid w:val="5CFB88A6"/>
    <w:rsid w:val="5D18F755"/>
    <w:rsid w:val="5D7D74BD"/>
    <w:rsid w:val="5DF3F0D8"/>
    <w:rsid w:val="5EB697D9"/>
    <w:rsid w:val="5EC5849C"/>
    <w:rsid w:val="5F2A02A6"/>
    <w:rsid w:val="5F67D93C"/>
    <w:rsid w:val="5F77E666"/>
    <w:rsid w:val="5FB77223"/>
    <w:rsid w:val="5FFCC4C1"/>
    <w:rsid w:val="5FFD0080"/>
    <w:rsid w:val="5FFF740A"/>
    <w:rsid w:val="61776D5A"/>
    <w:rsid w:val="657D3469"/>
    <w:rsid w:val="6BFFD4C3"/>
    <w:rsid w:val="6E3E3E63"/>
    <w:rsid w:val="6F2C0081"/>
    <w:rsid w:val="6F6968F7"/>
    <w:rsid w:val="6FB19D06"/>
    <w:rsid w:val="745DADF4"/>
    <w:rsid w:val="757B6DCB"/>
    <w:rsid w:val="76DE00A4"/>
    <w:rsid w:val="77BF5F25"/>
    <w:rsid w:val="77DE858B"/>
    <w:rsid w:val="77FDB90A"/>
    <w:rsid w:val="78F6EE31"/>
    <w:rsid w:val="79F26CC1"/>
    <w:rsid w:val="7B5F82FC"/>
    <w:rsid w:val="7B7D4C48"/>
    <w:rsid w:val="7BBF12D5"/>
    <w:rsid w:val="7BF1893D"/>
    <w:rsid w:val="7CED5A92"/>
    <w:rsid w:val="7D5FF262"/>
    <w:rsid w:val="7DBB29E5"/>
    <w:rsid w:val="7DD2D919"/>
    <w:rsid w:val="7DD72D08"/>
    <w:rsid w:val="7DFBEE85"/>
    <w:rsid w:val="7DFD4F93"/>
    <w:rsid w:val="7E9F5AF7"/>
    <w:rsid w:val="7EDAB7B9"/>
    <w:rsid w:val="7EFA0ECF"/>
    <w:rsid w:val="7EFB12CD"/>
    <w:rsid w:val="7EFFF234"/>
    <w:rsid w:val="7F6983F4"/>
    <w:rsid w:val="7F758238"/>
    <w:rsid w:val="7F7FB46F"/>
    <w:rsid w:val="7FAFF185"/>
    <w:rsid w:val="7FDE7CAA"/>
    <w:rsid w:val="7FDFE45B"/>
    <w:rsid w:val="7FFD3FB3"/>
    <w:rsid w:val="7FFF5225"/>
    <w:rsid w:val="8E7C5508"/>
    <w:rsid w:val="91D7BF3A"/>
    <w:rsid w:val="9B7D22A9"/>
    <w:rsid w:val="9D9FAA35"/>
    <w:rsid w:val="9E3B2651"/>
    <w:rsid w:val="9FEF0717"/>
    <w:rsid w:val="ABF72F69"/>
    <w:rsid w:val="AD0A99E9"/>
    <w:rsid w:val="AED601B3"/>
    <w:rsid w:val="B379CEEB"/>
    <w:rsid w:val="B3E535CE"/>
    <w:rsid w:val="B5DFDF4E"/>
    <w:rsid w:val="B60F4A5B"/>
    <w:rsid w:val="B66A637D"/>
    <w:rsid w:val="B77EEB8D"/>
    <w:rsid w:val="B7D56DEF"/>
    <w:rsid w:val="B9376027"/>
    <w:rsid w:val="BBDFC52F"/>
    <w:rsid w:val="BCFF8A68"/>
    <w:rsid w:val="BD6A1ED2"/>
    <w:rsid w:val="BDA74E03"/>
    <w:rsid w:val="BDDF4E0A"/>
    <w:rsid w:val="BDF900BE"/>
    <w:rsid w:val="BFF7A160"/>
    <w:rsid w:val="BFFF4F85"/>
    <w:rsid w:val="CABE0AFD"/>
    <w:rsid w:val="CFF72F26"/>
    <w:rsid w:val="CFFEE44E"/>
    <w:rsid w:val="D5F2F14B"/>
    <w:rsid w:val="D66A08E0"/>
    <w:rsid w:val="D7757E92"/>
    <w:rsid w:val="D77736DF"/>
    <w:rsid w:val="DBFFFA7B"/>
    <w:rsid w:val="DCB388AC"/>
    <w:rsid w:val="DDCC39AE"/>
    <w:rsid w:val="DDE99456"/>
    <w:rsid w:val="DEF71827"/>
    <w:rsid w:val="DF5F4FE3"/>
    <w:rsid w:val="DF6FD821"/>
    <w:rsid w:val="E2EBE074"/>
    <w:rsid w:val="E52DF817"/>
    <w:rsid w:val="E7E7828B"/>
    <w:rsid w:val="E7FE5F6F"/>
    <w:rsid w:val="EBB6CE65"/>
    <w:rsid w:val="EBE70D63"/>
    <w:rsid w:val="EBF4FBCB"/>
    <w:rsid w:val="ECBF9F04"/>
    <w:rsid w:val="ED9E8B4E"/>
    <w:rsid w:val="EDB9F221"/>
    <w:rsid w:val="EEBC1DF0"/>
    <w:rsid w:val="EEFF1522"/>
    <w:rsid w:val="EFE5A90D"/>
    <w:rsid w:val="EFEFF467"/>
    <w:rsid w:val="EFFD3FF8"/>
    <w:rsid w:val="EFFD7F39"/>
    <w:rsid w:val="F0CED9CC"/>
    <w:rsid w:val="F55B6570"/>
    <w:rsid w:val="F6FD9728"/>
    <w:rsid w:val="F77CA136"/>
    <w:rsid w:val="F7FE6584"/>
    <w:rsid w:val="F7FF7E15"/>
    <w:rsid w:val="F83D2CAB"/>
    <w:rsid w:val="F870936C"/>
    <w:rsid w:val="FA7FB993"/>
    <w:rsid w:val="FAD25067"/>
    <w:rsid w:val="FAFF446A"/>
    <w:rsid w:val="FB1EAC5F"/>
    <w:rsid w:val="FB621106"/>
    <w:rsid w:val="FCA2BC36"/>
    <w:rsid w:val="FD6FFDE1"/>
    <w:rsid w:val="FDBEF56D"/>
    <w:rsid w:val="FDF7C7E2"/>
    <w:rsid w:val="FDF7D425"/>
    <w:rsid w:val="FEDD74BF"/>
    <w:rsid w:val="FEFFC0FC"/>
    <w:rsid w:val="FF310DDB"/>
    <w:rsid w:val="FF5FE73A"/>
    <w:rsid w:val="FF7D4A8A"/>
    <w:rsid w:val="FF7E1492"/>
    <w:rsid w:val="FFB7B202"/>
    <w:rsid w:val="FFBE7C3A"/>
    <w:rsid w:val="FFBF161C"/>
    <w:rsid w:val="FFBF93ED"/>
    <w:rsid w:val="FFDA7BA9"/>
    <w:rsid w:val="FFE7F667"/>
    <w:rsid w:val="FFEB7678"/>
    <w:rsid w:val="FFF7306A"/>
    <w:rsid w:val="FFFBBB54"/>
    <w:rsid w:val="FFFD1FEC"/>
    <w:rsid w:val="FFFD8C02"/>
    <w:rsid w:val="FFFEE1B6"/>
    <w:rsid w:val="FFFF71BF"/>
    <w:rsid w:val="FFFFD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link w:val="13"/>
    <w:unhideWhenUsed/>
    <w:qFormat/>
    <w:uiPriority w:val="0"/>
    <w:pPr>
      <w:ind w:firstLine="420" w:firstLineChars="200"/>
    </w:pPr>
    <w:rPr>
      <w:rFonts w:eastAsia="仿宋_GB2312"/>
      <w:sz w:val="32"/>
    </w:rPr>
  </w:style>
  <w:style w:type="character" w:styleId="9">
    <w:name w:val="Emphasis"/>
    <w:basedOn w:val="8"/>
    <w:qFormat/>
    <w:uiPriority w:val="0"/>
    <w:rPr>
      <w:i/>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character" w:customStyle="1" w:styleId="12">
    <w:name w:val="正文文本缩进 Char"/>
    <w:basedOn w:val="8"/>
    <w:link w:val="3"/>
    <w:qFormat/>
    <w:uiPriority w:val="0"/>
    <w:rPr>
      <w:kern w:val="2"/>
      <w:sz w:val="21"/>
      <w:szCs w:val="24"/>
    </w:rPr>
  </w:style>
  <w:style w:type="character" w:customStyle="1" w:styleId="13">
    <w:name w:val="正文首行缩进 2 Char"/>
    <w:basedOn w:val="12"/>
    <w:link w:val="6"/>
    <w:qFormat/>
    <w:uiPriority w:val="0"/>
    <w:rPr>
      <w:rFonts w:eastAsia="仿宋_GB2312"/>
      <w:kern w:val="2"/>
      <w:sz w:val="3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1</Pages>
  <Words>305</Words>
  <Characters>1740</Characters>
  <Lines>14</Lines>
  <Paragraphs>4</Paragraphs>
  <TotalTime>0</TotalTime>
  <ScaleCrop>false</ScaleCrop>
  <LinksUpToDate>false</LinksUpToDate>
  <CharactersWithSpaces>2041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2021-03-05T01:29:00Z</dcterms:created>
  <dc:creator>huyc</dc:creator>
  <cp:lastModifiedBy>黄奕芳</cp:lastModifiedBy>
  <dcterms:modified xsi:type="dcterms:W3CDTF">2024-03-07T03:43:16Z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7FFE27590BA81334390FD865924823BC_42</vt:lpwstr>
  </property>
</Properties>
</file>