
<file path=[Content_Types].xml><?xml version="1.0" encoding="utf-8"?>
<Types xmlns="http://schemas.openxmlformats.org/package/2006/content-types">
  <Default Extension="png" ContentType="image/png"/>
  <Default Extension="wdp" ContentType="image/vnd.ms-photo"/>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jc w:val="center"/>
      </w:pPr>
      <w:r>
        <w:rPr>
          <w:rFonts w:hint="eastAsia"/>
          <w:lang w:val="en-US" w:eastAsia="zh-CN"/>
        </w:rPr>
        <w:t>福建省</w:t>
      </w:r>
      <w:r>
        <w:rPr>
          <w:rFonts w:hint="default"/>
        </w:rPr>
        <w:t>企业技术创新需求征集表</w:t>
      </w:r>
    </w:p>
    <w:tbl>
      <w:tblPr>
        <w:tblStyle w:val="6"/>
        <w:tblpPr w:leftFromText="180" w:rightFromText="180" w:vertAnchor="text" w:tblpY="1"/>
        <w:tblOverlap w:val="never"/>
        <w:tblW w:w="8765" w:type="dxa"/>
        <w:tblInd w:w="0" w:type="dxa"/>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Layout w:type="fixed"/>
        <w:tblCellMar>
          <w:top w:w="0" w:type="dxa"/>
          <w:left w:w="108" w:type="dxa"/>
          <w:bottom w:w="0" w:type="dxa"/>
          <w:right w:w="108" w:type="dxa"/>
        </w:tblCellMar>
      </w:tblPr>
      <w:tblGrid>
        <w:gridCol w:w="1466"/>
        <w:gridCol w:w="3221"/>
        <w:gridCol w:w="1246"/>
        <w:gridCol w:w="2832"/>
      </w:tblGrid>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trHeight w:val="90"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default" w:ascii="仿宋_GB2312" w:hAnsi="宋体" w:eastAsia="仿宋_GB2312" w:cs="宋体"/>
                <w:snapToGrid w:val="0"/>
                <w:color w:val="000000"/>
                <w:kern w:val="0"/>
                <w:szCs w:val="21"/>
              </w:rPr>
              <w:t>企业</w:t>
            </w:r>
            <w:r>
              <w:rPr>
                <w:rFonts w:hint="eastAsia" w:ascii="仿宋_GB2312" w:hAnsi="宋体" w:eastAsia="仿宋_GB2312" w:cs="宋体"/>
                <w:snapToGrid w:val="0"/>
                <w:color w:val="000000"/>
                <w:kern w:val="0"/>
                <w:szCs w:val="21"/>
              </w:rPr>
              <w:t>名称</w:t>
            </w:r>
          </w:p>
        </w:tc>
        <w:tc>
          <w:tcPr>
            <w:tcW w:w="7299" w:type="dxa"/>
            <w:gridSpan w:val="3"/>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福建南方路面机械股份有限公司</w:t>
            </w:r>
          </w:p>
        </w:tc>
      </w:tr>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cantSplit/>
          <w:trHeight w:val="495"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负责人</w:t>
            </w:r>
          </w:p>
        </w:tc>
        <w:tc>
          <w:tcPr>
            <w:tcW w:w="3221"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黄文景</w:t>
            </w:r>
          </w:p>
        </w:tc>
        <w:tc>
          <w:tcPr>
            <w:tcW w:w="1246"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职务/职称</w:t>
            </w:r>
          </w:p>
        </w:tc>
        <w:tc>
          <w:tcPr>
            <w:tcW w:w="2832"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lang w:eastAsia="zh-CN"/>
              </w:rPr>
            </w:pPr>
            <w:r>
              <w:rPr>
                <w:rFonts w:hint="eastAsia" w:ascii="仿宋_GB2312" w:hAnsi="宋体" w:eastAsia="仿宋_GB2312" w:cs="宋体"/>
                <w:snapToGrid w:val="0"/>
                <w:color w:val="000000"/>
                <w:kern w:val="0"/>
                <w:szCs w:val="21"/>
              </w:rPr>
              <w:t>技术</w:t>
            </w:r>
            <w:r>
              <w:rPr>
                <w:rFonts w:hint="eastAsia" w:ascii="仿宋_GB2312" w:hAnsi="宋体" w:eastAsia="仿宋_GB2312" w:cs="宋体"/>
                <w:snapToGrid w:val="0"/>
                <w:color w:val="000000"/>
                <w:kern w:val="0"/>
                <w:szCs w:val="21"/>
                <w:lang w:val="en-US" w:eastAsia="zh-CN"/>
              </w:rPr>
              <w:t>总工</w:t>
            </w:r>
          </w:p>
        </w:tc>
      </w:tr>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cantSplit/>
          <w:trHeight w:val="572"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手机</w:t>
            </w:r>
          </w:p>
        </w:tc>
        <w:tc>
          <w:tcPr>
            <w:tcW w:w="3221"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13505004180</w:t>
            </w:r>
          </w:p>
        </w:tc>
        <w:tc>
          <w:tcPr>
            <w:tcW w:w="1246"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邮箱</w:t>
            </w:r>
          </w:p>
        </w:tc>
        <w:tc>
          <w:tcPr>
            <w:tcW w:w="2832" w:type="dxa"/>
            <w:tcBorders>
              <w:tl2br w:val="nil"/>
              <w:tr2bl w:val="nil"/>
            </w:tcBorders>
            <w:tcMar>
              <w:top w:w="0" w:type="dxa"/>
              <w:left w:w="108" w:type="dxa"/>
              <w:bottom w:w="0" w:type="dxa"/>
              <w:right w:w="108" w:type="dxa"/>
            </w:tcMar>
            <w:vAlign w:val="center"/>
          </w:tcPr>
          <w:p>
            <w:pPr>
              <w:spacing w:line="360" w:lineRule="auto"/>
              <w:jc w:val="both"/>
              <w:rPr>
                <w:rFonts w:hint="default" w:ascii="仿宋_GB2312" w:hAnsi="宋体" w:eastAsia="仿宋_GB2312" w:cs="宋体"/>
                <w:snapToGrid w:val="0"/>
                <w:color w:val="000000"/>
                <w:kern w:val="0"/>
                <w:szCs w:val="21"/>
                <w:lang w:val="en-US" w:eastAsia="zh-CN"/>
              </w:rPr>
            </w:pPr>
            <w:r>
              <w:rPr>
                <w:rFonts w:hint="eastAsia" w:ascii="仿宋_GB2312" w:hAnsi="宋体" w:eastAsia="仿宋_GB2312" w:cs="宋体"/>
                <w:snapToGrid w:val="0"/>
                <w:color w:val="000000"/>
                <w:kern w:val="0"/>
                <w:szCs w:val="21"/>
                <w:lang w:val="en-US" w:eastAsia="zh-CN"/>
              </w:rPr>
              <w:t>362000</w:t>
            </w:r>
          </w:p>
        </w:tc>
      </w:tr>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cantSplit/>
          <w:trHeight w:val="572"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default" w:ascii="仿宋_GB2312" w:hAnsi="宋体" w:eastAsia="仿宋_GB2312" w:cs="宋体"/>
                <w:snapToGrid w:val="0"/>
                <w:color w:val="000000"/>
                <w:kern w:val="0"/>
                <w:szCs w:val="21"/>
              </w:rPr>
              <w:t>需求标题</w:t>
            </w:r>
          </w:p>
        </w:tc>
        <w:tc>
          <w:tcPr>
            <w:tcW w:w="7299" w:type="dxa"/>
            <w:gridSpan w:val="3"/>
            <w:tcBorders>
              <w:tl2br w:val="nil"/>
              <w:tr2bl w:val="nil"/>
            </w:tcBorders>
            <w:tcMar>
              <w:top w:w="0" w:type="dxa"/>
              <w:left w:w="108" w:type="dxa"/>
              <w:bottom w:w="0" w:type="dxa"/>
              <w:right w:w="108" w:type="dxa"/>
            </w:tcMar>
            <w:vAlign w:val="center"/>
          </w:tcPr>
          <w:p>
            <w:pPr>
              <w:spacing w:line="360" w:lineRule="auto"/>
              <w:ind w:firstLine="105" w:firstLineChars="50"/>
              <w:jc w:val="both"/>
              <w:rPr>
                <w:rFonts w:hint="default" w:ascii="仿宋_GB2312" w:hAnsi="宋体" w:eastAsia="仿宋_GB2312" w:cs="宋体"/>
                <w:snapToGrid w:val="0"/>
                <w:color w:val="auto"/>
                <w:kern w:val="0"/>
                <w:szCs w:val="21"/>
              </w:rPr>
            </w:pPr>
            <w:r>
              <w:rPr>
                <w:rFonts w:hint="default" w:ascii="仿宋_GB2312" w:hAnsi="宋体" w:eastAsia="仿宋_GB2312" w:cs="宋体"/>
                <w:snapToGrid w:val="0"/>
                <w:color w:val="auto"/>
                <w:kern w:val="0"/>
                <w:szCs w:val="21"/>
              </w:rPr>
              <w:t>人工智能多模态融合关键技术及在绿色建材装备的应用开发</w:t>
            </w:r>
          </w:p>
          <w:p>
            <w:pPr>
              <w:spacing w:line="360" w:lineRule="auto"/>
              <w:jc w:val="both"/>
              <w:rPr>
                <w:rFonts w:hint="eastAsia" w:ascii="仿宋_GB2312" w:hAnsi="宋体" w:eastAsia="仿宋_GB2312" w:cs="宋体"/>
                <w:snapToGrid w:val="0"/>
                <w:color w:val="000000"/>
                <w:kern w:val="0"/>
                <w:szCs w:val="21"/>
              </w:rPr>
            </w:pPr>
            <w:r>
              <w:rPr>
                <w:rFonts w:hint="default" w:ascii="仿宋_GB2312" w:hAnsi="宋体" w:eastAsia="仿宋_GB2312" w:cs="宋体"/>
                <w:snapToGrid w:val="0"/>
                <w:color w:val="auto"/>
                <w:kern w:val="0"/>
                <w:sz w:val="21"/>
                <w:szCs w:val="21"/>
                <w:lang w:val="en-US" w:eastAsia="zh-CN" w:bidi="ar-SA"/>
              </w:rPr>
              <w:t>（建材加工过程的碳排放占比30%以上，集料的粗放式加工导致级配和粒形不可控，集料的波动会严重影响到水泥、沥青用量和混合料质量，严重影响节碳减排。</w:t>
            </w:r>
            <w:r>
              <w:rPr>
                <w:rFonts w:hint="default" w:ascii="仿宋_GB2312" w:hAnsi="宋体" w:eastAsia="仿宋_GB2312" w:cs="宋体"/>
                <w:snapToGrid w:val="0"/>
                <w:color w:val="auto"/>
                <w:kern w:val="0"/>
                <w:szCs w:val="21"/>
              </w:rPr>
              <w:t>人工智能多模态融合关键技术</w:t>
            </w:r>
            <w:r>
              <w:rPr>
                <w:rFonts w:hint="default" w:ascii="仿宋_GB2312" w:hAnsi="宋体" w:eastAsia="仿宋_GB2312" w:cs="宋体"/>
                <w:snapToGrid w:val="0"/>
                <w:color w:val="auto"/>
                <w:kern w:val="0"/>
                <w:sz w:val="21"/>
                <w:szCs w:val="21"/>
                <w:lang w:val="en-US" w:eastAsia="zh-CN" w:bidi="ar-SA"/>
              </w:rPr>
              <w:t>构建绿色建材加工过程底层大数据预测模型，开发绿色建材智能精细化配方，实现集料智能低碳加工、集料多参数人工智能评价、绿色建材混合料智能搅拌及低碳循环建材产业园整体解决方案。）</w:t>
            </w:r>
          </w:p>
        </w:tc>
      </w:tr>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trHeight w:val="523"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所属领域</w:t>
            </w:r>
          </w:p>
        </w:tc>
        <w:tc>
          <w:tcPr>
            <w:tcW w:w="7299" w:type="dxa"/>
            <w:gridSpan w:val="3"/>
            <w:tcBorders>
              <w:tl2br w:val="nil"/>
              <w:tr2bl w:val="nil"/>
            </w:tcBorders>
            <w:tcMar>
              <w:top w:w="0" w:type="dxa"/>
              <w:left w:w="108" w:type="dxa"/>
              <w:bottom w:w="0" w:type="dxa"/>
              <w:right w:w="108" w:type="dxa"/>
            </w:tcMar>
            <w:vAlign w:val="center"/>
          </w:tcPr>
          <w:p>
            <w:pPr>
              <w:spacing w:line="360" w:lineRule="auto"/>
              <w:jc w:val="both"/>
              <w:rPr>
                <w:rFonts w:hint="default"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 新一代信息技术</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 新材料</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sym w:font="Wingdings 2" w:char="0052"/>
            </w:r>
            <w:r>
              <w:rPr>
                <w:rFonts w:hint="eastAsia" w:ascii="仿宋_GB2312" w:hAnsi="宋体" w:eastAsia="仿宋_GB2312" w:cs="宋体"/>
                <w:snapToGrid w:val="0"/>
                <w:color w:val="000000"/>
                <w:kern w:val="0"/>
                <w:szCs w:val="21"/>
              </w:rPr>
              <w:t xml:space="preserve"> 高端装备制造</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 化学化工</w:t>
            </w:r>
          </w:p>
          <w:p>
            <w:pPr>
              <w:spacing w:line="360" w:lineRule="auto"/>
              <w:jc w:val="both"/>
              <w:rPr>
                <w:rFonts w:hint="eastAsia" w:ascii="仿宋_GB2312" w:hAnsi="宋体" w:eastAsia="仿宋_GB2312" w:cs="宋体"/>
                <w:snapToGrid w:val="0"/>
                <w:color w:val="000000"/>
                <w:kern w:val="0"/>
                <w:szCs w:val="21"/>
                <w:lang w:val="en-US" w:eastAsia="zh-CN"/>
              </w:rPr>
            </w:pPr>
            <w:r>
              <w:rPr>
                <w:rFonts w:hint="eastAsia" w:ascii="仿宋_GB2312" w:hAnsi="宋体" w:eastAsia="仿宋_GB2312" w:cs="宋体"/>
                <w:snapToGrid w:val="0"/>
                <w:color w:val="000000"/>
                <w:kern w:val="0"/>
                <w:szCs w:val="21"/>
              </w:rPr>
              <w:t>□ 新能源与节能环保</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 航空航天技术</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 xml:space="preserve">□ </w:t>
            </w:r>
            <w:r>
              <w:rPr>
                <w:rFonts w:hint="default" w:ascii="仿宋_GB2312" w:hAnsi="宋体" w:eastAsia="仿宋_GB2312" w:cs="宋体"/>
                <w:snapToGrid w:val="0"/>
                <w:color w:val="000000"/>
                <w:kern w:val="0"/>
                <w:szCs w:val="21"/>
              </w:rPr>
              <w:t xml:space="preserve">现代海洋      </w:t>
            </w:r>
            <w:r>
              <w:rPr>
                <w:rFonts w:hint="eastAsia" w:ascii="仿宋_GB2312" w:hAnsi="宋体" w:eastAsia="仿宋_GB2312" w:cs="宋体"/>
                <w:snapToGrid w:val="0"/>
                <w:color w:val="000000"/>
                <w:kern w:val="0"/>
                <w:szCs w:val="21"/>
              </w:rPr>
              <w:t>□ 生物</w:t>
            </w:r>
            <w:r>
              <w:rPr>
                <w:rFonts w:hint="eastAsia" w:ascii="仿宋_GB2312" w:hAnsi="宋体" w:eastAsia="仿宋_GB2312" w:cs="宋体"/>
                <w:snapToGrid w:val="0"/>
                <w:color w:val="000000"/>
                <w:kern w:val="0"/>
                <w:szCs w:val="21"/>
                <w:lang w:val="en-US" w:eastAsia="zh-CN"/>
              </w:rPr>
              <w:t>医药</w:t>
            </w:r>
          </w:p>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 xml:space="preserve">□ </w:t>
            </w:r>
            <w:r>
              <w:rPr>
                <w:rFonts w:hint="default" w:ascii="仿宋_GB2312" w:hAnsi="宋体" w:eastAsia="仿宋_GB2312" w:cs="宋体"/>
                <w:snapToGrid w:val="0"/>
                <w:color w:val="000000"/>
                <w:kern w:val="0"/>
                <w:szCs w:val="21"/>
              </w:rPr>
              <w:t xml:space="preserve">交通规划与运输    </w:t>
            </w:r>
            <w:r>
              <w:rPr>
                <w:rFonts w:hint="eastAsia" w:ascii="仿宋_GB2312" w:hAnsi="宋体" w:eastAsia="仿宋_GB2312" w:cs="宋体"/>
                <w:snapToGrid w:val="0"/>
                <w:color w:val="000000"/>
                <w:kern w:val="0"/>
                <w:szCs w:val="21"/>
              </w:rPr>
              <w:t xml:space="preserve">□ </w:t>
            </w:r>
            <w:r>
              <w:rPr>
                <w:rFonts w:hint="default" w:ascii="仿宋_GB2312" w:hAnsi="宋体" w:eastAsia="仿宋_GB2312" w:cs="宋体"/>
                <w:snapToGrid w:val="0"/>
                <w:color w:val="000000"/>
                <w:kern w:val="0"/>
                <w:szCs w:val="21"/>
              </w:rPr>
              <w:t xml:space="preserve">电子信息      </w:t>
            </w:r>
            <w:r>
              <w:rPr>
                <w:rFonts w:hint="eastAsia" w:ascii="仿宋_GB2312" w:hAnsi="宋体" w:eastAsia="仿宋_GB2312" w:cs="宋体"/>
                <w:snapToGrid w:val="0"/>
                <w:color w:val="000000"/>
                <w:kern w:val="0"/>
                <w:szCs w:val="21"/>
              </w:rPr>
              <w:t>□ 其他</w:t>
            </w:r>
            <w:r>
              <w:rPr>
                <w:rFonts w:hint="default" w:ascii="仿宋_GB2312" w:hAnsi="宋体" w:eastAsia="仿宋_GB2312" w:cs="宋体"/>
                <w:snapToGrid w:val="0"/>
                <w:color w:val="000000"/>
                <w:kern w:val="0"/>
                <w:szCs w:val="21"/>
              </w:rPr>
              <w:t>________</w:t>
            </w:r>
          </w:p>
        </w:tc>
      </w:tr>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trHeight w:val="1673"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default" w:ascii="仿宋_GB2312" w:hAnsi="宋体" w:eastAsia="仿宋_GB2312" w:cs="宋体"/>
                <w:snapToGrid w:val="0"/>
                <w:color w:val="000000"/>
                <w:kern w:val="0"/>
                <w:szCs w:val="21"/>
              </w:rPr>
              <w:t>需求类型</w:t>
            </w:r>
          </w:p>
        </w:tc>
        <w:tc>
          <w:tcPr>
            <w:tcW w:w="7299" w:type="dxa"/>
            <w:gridSpan w:val="3"/>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 xml:space="preserve">□ </w:t>
            </w:r>
            <w:r>
              <w:rPr>
                <w:rFonts w:hint="default" w:ascii="仿宋_GB2312" w:hAnsi="宋体" w:eastAsia="仿宋_GB2312" w:cs="宋体"/>
                <w:snapToGrid w:val="0"/>
                <w:color w:val="000000"/>
                <w:kern w:val="0"/>
                <w:szCs w:val="21"/>
              </w:rPr>
              <w:t>专利购买</w:t>
            </w:r>
            <w:r>
              <w:rPr>
                <w:rFonts w:hint="eastAsia"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sym w:font="Wingdings 2" w:char="0052"/>
            </w:r>
            <w:r>
              <w:rPr>
                <w:rFonts w:hint="eastAsia" w:ascii="仿宋_GB2312" w:hAnsi="宋体" w:eastAsia="仿宋_GB2312" w:cs="宋体"/>
                <w:snapToGrid w:val="0"/>
                <w:color w:val="000000"/>
                <w:kern w:val="0"/>
                <w:szCs w:val="21"/>
              </w:rPr>
              <w:t xml:space="preserve"> </w:t>
            </w:r>
            <w:r>
              <w:rPr>
                <w:rFonts w:hint="default" w:ascii="仿宋_GB2312" w:hAnsi="宋体" w:eastAsia="仿宋_GB2312" w:cs="宋体"/>
                <w:snapToGrid w:val="0"/>
                <w:color w:val="000000"/>
                <w:kern w:val="0"/>
                <w:szCs w:val="21"/>
              </w:rPr>
              <w:t>技术难题解决</w:t>
            </w:r>
            <w:r>
              <w:rPr>
                <w:rFonts w:hint="eastAsia" w:ascii="仿宋_GB2312" w:hAnsi="宋体" w:eastAsia="仿宋_GB2312" w:cs="宋体"/>
                <w:snapToGrid w:val="0"/>
                <w:color w:val="000000"/>
                <w:kern w:val="0"/>
                <w:szCs w:val="21"/>
              </w:rPr>
              <w:t xml:space="preserve">   □ </w:t>
            </w:r>
            <w:r>
              <w:rPr>
                <w:rFonts w:hint="default" w:ascii="仿宋_GB2312" w:hAnsi="宋体" w:eastAsia="仿宋_GB2312" w:cs="宋体"/>
                <w:snapToGrid w:val="0"/>
                <w:color w:val="000000"/>
                <w:kern w:val="0"/>
                <w:szCs w:val="21"/>
              </w:rPr>
              <w:t xml:space="preserve">新技术开发    </w:t>
            </w:r>
            <w:r>
              <w:rPr>
                <w:rFonts w:hint="eastAsia" w:ascii="仿宋_GB2312" w:hAnsi="宋体" w:eastAsia="仿宋_GB2312" w:cs="宋体"/>
                <w:snapToGrid w:val="0"/>
                <w:color w:val="000000"/>
                <w:kern w:val="0"/>
                <w:szCs w:val="21"/>
              </w:rPr>
              <w:t xml:space="preserve">□ </w:t>
            </w:r>
            <w:r>
              <w:rPr>
                <w:rFonts w:hint="default" w:ascii="仿宋_GB2312" w:hAnsi="宋体" w:eastAsia="仿宋_GB2312" w:cs="宋体"/>
                <w:snapToGrid w:val="0"/>
                <w:color w:val="000000"/>
                <w:kern w:val="0"/>
                <w:szCs w:val="21"/>
              </w:rPr>
              <w:t>投资融资</w:t>
            </w:r>
            <w:r>
              <w:rPr>
                <w:rFonts w:hint="eastAsia" w:ascii="仿宋_GB2312" w:hAnsi="宋体" w:eastAsia="仿宋_GB2312" w:cs="宋体"/>
                <w:snapToGrid w:val="0"/>
                <w:color w:val="000000"/>
                <w:kern w:val="0"/>
                <w:szCs w:val="21"/>
              </w:rPr>
              <w:t xml:space="preserve">    </w:t>
            </w:r>
          </w:p>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 xml:space="preserve">□ </w:t>
            </w:r>
            <w:r>
              <w:rPr>
                <w:rFonts w:hint="default" w:ascii="仿宋_GB2312" w:hAnsi="宋体" w:eastAsia="仿宋_GB2312" w:cs="宋体"/>
                <w:snapToGrid w:val="0"/>
                <w:color w:val="000000"/>
                <w:kern w:val="0"/>
                <w:szCs w:val="21"/>
              </w:rPr>
              <w:t>技术储备</w:t>
            </w:r>
            <w:r>
              <w:rPr>
                <w:rFonts w:hint="eastAsia" w:ascii="仿宋_GB2312" w:hAnsi="宋体" w:eastAsia="仿宋_GB2312" w:cs="宋体"/>
                <w:snapToGrid w:val="0"/>
                <w:color w:val="000000"/>
                <w:kern w:val="0"/>
                <w:szCs w:val="21"/>
              </w:rPr>
              <w:t xml:space="preserve">    □ </w:t>
            </w:r>
            <w:r>
              <w:rPr>
                <w:rFonts w:hint="default" w:ascii="仿宋_GB2312" w:hAnsi="宋体" w:eastAsia="仿宋_GB2312" w:cs="宋体"/>
                <w:snapToGrid w:val="0"/>
                <w:color w:val="000000"/>
                <w:kern w:val="0"/>
                <w:szCs w:val="21"/>
              </w:rPr>
              <w:t xml:space="preserve">专业人才需求   </w:t>
            </w:r>
            <w:r>
              <w:rPr>
                <w:rFonts w:hint="eastAsia" w:ascii="仿宋_GB2312" w:hAnsi="宋体" w:eastAsia="仿宋_GB2312" w:cs="宋体"/>
                <w:snapToGrid w:val="0"/>
                <w:color w:val="000000"/>
                <w:kern w:val="0"/>
                <w:szCs w:val="21"/>
              </w:rPr>
              <w:t>□ 其他</w:t>
            </w:r>
            <w:r>
              <w:rPr>
                <w:rFonts w:hint="default" w:ascii="仿宋_GB2312" w:hAnsi="宋体" w:eastAsia="仿宋_GB2312" w:cs="宋体"/>
                <w:snapToGrid w:val="0"/>
                <w:color w:val="000000"/>
                <w:kern w:val="0"/>
                <w:szCs w:val="21"/>
              </w:rPr>
              <w:t>________</w:t>
            </w:r>
          </w:p>
        </w:tc>
      </w:tr>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trHeight w:val="1526"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default" w:ascii="仿宋_GB2312" w:hAnsi="宋体" w:eastAsia="仿宋_GB2312" w:cs="宋体"/>
                <w:snapToGrid w:val="0"/>
                <w:color w:val="000000"/>
                <w:kern w:val="0"/>
                <w:szCs w:val="21"/>
              </w:rPr>
            </w:pPr>
            <w:r>
              <w:rPr>
                <w:rFonts w:hint="default" w:ascii="仿宋_GB2312" w:hAnsi="宋体" w:eastAsia="仿宋_GB2312" w:cs="宋体"/>
                <w:snapToGrid w:val="0"/>
                <w:color w:val="000000"/>
                <w:kern w:val="0"/>
                <w:szCs w:val="21"/>
              </w:rPr>
              <w:t>需求缘由</w:t>
            </w:r>
          </w:p>
        </w:tc>
        <w:tc>
          <w:tcPr>
            <w:tcW w:w="7299" w:type="dxa"/>
            <w:gridSpan w:val="3"/>
            <w:tcBorders>
              <w:tl2br w:val="nil"/>
              <w:tr2bl w:val="nil"/>
            </w:tcBorders>
            <w:tcMar>
              <w:top w:w="0" w:type="dxa"/>
              <w:left w:w="108" w:type="dxa"/>
              <w:bottom w:w="0" w:type="dxa"/>
              <w:right w:w="108" w:type="dxa"/>
            </w:tcMar>
            <w:vAlign w:val="center"/>
          </w:tcPr>
          <w:p>
            <w:pPr>
              <w:adjustRightInd w:val="0"/>
              <w:snapToGrid w:val="0"/>
              <w:spacing w:line="240" w:lineRule="atLeast"/>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 xml:space="preserve">□ 新产品开发        </w:t>
            </w:r>
            <w:r>
              <w:rPr>
                <w:rFonts w:hint="eastAsia" w:ascii="仿宋_GB2312" w:hAnsi="宋体" w:eastAsia="仿宋_GB2312" w:cs="宋体"/>
                <w:snapToGrid w:val="0"/>
                <w:color w:val="000000"/>
                <w:kern w:val="0"/>
                <w:szCs w:val="21"/>
              </w:rPr>
              <w:sym w:font="Wingdings 2" w:char="0052"/>
            </w:r>
            <w:r>
              <w:rPr>
                <w:rFonts w:hint="eastAsia" w:ascii="仿宋_GB2312" w:hAnsi="宋体" w:eastAsia="仿宋_GB2312" w:cs="宋体"/>
                <w:snapToGrid w:val="0"/>
                <w:color w:val="000000"/>
                <w:kern w:val="0"/>
                <w:szCs w:val="21"/>
              </w:rPr>
              <w:t xml:space="preserve"> 产品升级换代       □ 生产线技术改造 </w:t>
            </w:r>
          </w:p>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sym w:font="Wingdings 2" w:char="0052"/>
            </w:r>
            <w:r>
              <w:rPr>
                <w:rFonts w:hint="eastAsia" w:ascii="仿宋_GB2312" w:hAnsi="宋体" w:eastAsia="仿宋_GB2312" w:cs="宋体"/>
                <w:snapToGrid w:val="0"/>
                <w:color w:val="000000"/>
                <w:kern w:val="0"/>
                <w:szCs w:val="21"/>
              </w:rPr>
              <w:t xml:space="preserve"> 制造工艺改进      </w:t>
            </w:r>
            <w:r>
              <w:rPr>
                <w:rFonts w:hint="eastAsia" w:ascii="仿宋_GB2312" w:hAnsi="宋体" w:eastAsia="仿宋_GB2312" w:cs="宋体"/>
                <w:snapToGrid w:val="0"/>
                <w:color w:val="000000"/>
                <w:kern w:val="0"/>
                <w:szCs w:val="21"/>
              </w:rPr>
              <w:sym w:font="Wingdings 2" w:char="0052"/>
            </w:r>
            <w:r>
              <w:rPr>
                <w:rFonts w:hint="eastAsia" w:ascii="仿宋_GB2312" w:hAnsi="宋体" w:eastAsia="仿宋_GB2312" w:cs="宋体"/>
                <w:snapToGrid w:val="0"/>
                <w:color w:val="000000"/>
                <w:kern w:val="0"/>
                <w:szCs w:val="21"/>
              </w:rPr>
              <w:t xml:space="preserve"> 制造装备改进      </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 其他</w:t>
            </w:r>
            <w:r>
              <w:rPr>
                <w:rFonts w:hint="default" w:ascii="仿宋_GB2312" w:hAnsi="宋体" w:eastAsia="仿宋_GB2312" w:cs="宋体"/>
                <w:snapToGrid w:val="0"/>
                <w:color w:val="000000"/>
                <w:kern w:val="0"/>
                <w:szCs w:val="21"/>
              </w:rPr>
              <w:t>________</w:t>
            </w:r>
          </w:p>
        </w:tc>
      </w:tr>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trHeight w:val="1429"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default" w:ascii="仿宋_GB2312" w:hAnsi="宋体" w:eastAsia="仿宋_GB2312" w:cs="宋体"/>
                <w:snapToGrid w:val="0"/>
                <w:color w:val="000000"/>
                <w:kern w:val="0"/>
                <w:szCs w:val="21"/>
              </w:rPr>
            </w:pPr>
            <w:r>
              <w:rPr>
                <w:rFonts w:hint="default" w:ascii="仿宋_GB2312" w:hAnsi="宋体" w:eastAsia="仿宋_GB2312" w:cs="宋体"/>
                <w:snapToGrid w:val="0"/>
                <w:color w:val="000000"/>
                <w:kern w:val="0"/>
                <w:szCs w:val="21"/>
              </w:rPr>
              <w:t>合作方式</w:t>
            </w:r>
          </w:p>
        </w:tc>
        <w:tc>
          <w:tcPr>
            <w:tcW w:w="7299" w:type="dxa"/>
            <w:gridSpan w:val="3"/>
            <w:tcBorders>
              <w:tl2br w:val="nil"/>
              <w:tr2bl w:val="nil"/>
            </w:tcBorders>
            <w:tcMar>
              <w:top w:w="0" w:type="dxa"/>
              <w:left w:w="108" w:type="dxa"/>
              <w:bottom w:w="0" w:type="dxa"/>
              <w:right w:w="108" w:type="dxa"/>
            </w:tcMar>
            <w:vAlign w:val="center"/>
          </w:tcPr>
          <w:p>
            <w:pPr>
              <w:adjustRightInd w:val="0"/>
              <w:snapToGrid w:val="0"/>
              <w:spacing w:line="240" w:lineRule="atLeast"/>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 xml:space="preserve">□ 股权投资  </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 xml:space="preserve">□ 技术转让 </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 xml:space="preserve"> □ 许可使用 </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sym w:font="Wingdings 2" w:char="0052"/>
            </w:r>
            <w:r>
              <w:rPr>
                <w:rFonts w:hint="eastAsia" w:ascii="仿宋_GB2312" w:hAnsi="宋体" w:eastAsia="仿宋_GB2312" w:cs="宋体"/>
                <w:snapToGrid w:val="0"/>
                <w:color w:val="000000"/>
                <w:kern w:val="0"/>
                <w:szCs w:val="21"/>
              </w:rPr>
              <w:t xml:space="preserve"> 合作开发 </w:t>
            </w:r>
          </w:p>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 合作兴办新企业</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 其他</w:t>
            </w:r>
            <w:r>
              <w:rPr>
                <w:rFonts w:hint="default" w:ascii="仿宋_GB2312" w:hAnsi="宋体" w:eastAsia="仿宋_GB2312" w:cs="宋体"/>
                <w:snapToGrid w:val="0"/>
                <w:color w:val="000000"/>
                <w:kern w:val="0"/>
                <w:szCs w:val="21"/>
              </w:rPr>
              <w:t>__________</w:t>
            </w:r>
          </w:p>
        </w:tc>
      </w:tr>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trHeight w:val="1308"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default" w:ascii="仿宋_GB2312" w:hAnsi="宋体" w:eastAsia="仿宋_GB2312" w:cs="宋体"/>
                <w:snapToGrid w:val="0"/>
                <w:color w:val="000000"/>
                <w:kern w:val="0"/>
                <w:szCs w:val="21"/>
              </w:rPr>
            </w:pPr>
            <w:r>
              <w:rPr>
                <w:rFonts w:hint="default" w:ascii="仿宋_GB2312" w:hAnsi="宋体" w:eastAsia="仿宋_GB2312" w:cs="宋体"/>
                <w:snapToGrid w:val="0"/>
                <w:color w:val="000000"/>
                <w:kern w:val="0"/>
                <w:szCs w:val="21"/>
              </w:rPr>
              <w:t>拟投入金额</w:t>
            </w:r>
          </w:p>
        </w:tc>
        <w:tc>
          <w:tcPr>
            <w:tcW w:w="7299" w:type="dxa"/>
            <w:gridSpan w:val="3"/>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default" w:ascii="仿宋_GB2312" w:hAnsi="宋体" w:eastAsia="仿宋_GB2312" w:cs="宋体"/>
                <w:snapToGrid w:val="0"/>
                <w:color w:val="auto"/>
                <w:kern w:val="0"/>
                <w:szCs w:val="21"/>
              </w:rPr>
              <w:t xml:space="preserve">解决技术需求的拟投入金额 </w:t>
            </w:r>
            <w:r>
              <w:rPr>
                <w:rFonts w:hint="eastAsia" w:ascii="仿宋_GB2312" w:hAnsi="宋体" w:eastAsia="仿宋_GB2312" w:cs="宋体"/>
                <w:snapToGrid w:val="0"/>
                <w:color w:val="auto"/>
                <w:kern w:val="0"/>
                <w:szCs w:val="21"/>
                <w:lang w:val="en-US" w:eastAsia="zh-CN"/>
              </w:rPr>
              <w:t>2300</w:t>
            </w:r>
            <w:r>
              <w:rPr>
                <w:rFonts w:hint="default" w:ascii="仿宋_GB2312" w:hAnsi="宋体" w:eastAsia="仿宋_GB2312" w:cs="宋体"/>
                <w:snapToGrid w:val="0"/>
                <w:color w:val="auto"/>
                <w:kern w:val="0"/>
                <w:szCs w:val="21"/>
              </w:rPr>
              <w:t xml:space="preserve">  （单位万元）  </w:t>
            </w:r>
          </w:p>
        </w:tc>
      </w:tr>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trHeight w:val="5016"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default" w:ascii="仿宋_GB2312" w:hAnsi="宋体" w:eastAsia="仿宋_GB2312" w:cs="宋体"/>
                <w:snapToGrid w:val="0"/>
                <w:color w:val="000000"/>
                <w:kern w:val="0"/>
                <w:szCs w:val="21"/>
              </w:rPr>
              <w:t>需求描述</w:t>
            </w:r>
          </w:p>
        </w:tc>
        <w:tc>
          <w:tcPr>
            <w:tcW w:w="7299" w:type="dxa"/>
            <w:gridSpan w:val="3"/>
            <w:tcBorders>
              <w:tl2br w:val="nil"/>
              <w:tr2bl w:val="nil"/>
            </w:tcBorders>
            <w:tcMar>
              <w:top w:w="0" w:type="dxa"/>
              <w:left w:w="108" w:type="dxa"/>
              <w:bottom w:w="0" w:type="dxa"/>
              <w:right w:w="108" w:type="dxa"/>
            </w:tcMar>
            <w:vAlign w:val="top"/>
          </w:tcPr>
          <w:p>
            <w:pPr>
              <w:spacing w:line="360" w:lineRule="auto"/>
              <w:jc w:val="both"/>
              <w:rPr>
                <w:rFonts w:hint="eastAsia" w:ascii="仿宋_GB2312" w:hAnsi="宋体" w:eastAsia="仿宋_GB2312" w:cs="宋体"/>
                <w:snapToGrid w:val="0"/>
                <w:color w:val="auto"/>
                <w:kern w:val="0"/>
                <w:szCs w:val="21"/>
              </w:rPr>
            </w:pPr>
            <w:r>
              <w:rPr>
                <w:rFonts w:hint="eastAsia" w:ascii="仿宋_GB2312" w:hAnsi="宋体" w:eastAsia="仿宋_GB2312" w:cs="宋体"/>
                <w:snapToGrid w:val="0"/>
                <w:color w:val="auto"/>
                <w:kern w:val="0"/>
                <w:szCs w:val="21"/>
              </w:rPr>
              <w:t>精准描述所要解决的技术问题、</w:t>
            </w:r>
            <w:r>
              <w:rPr>
                <w:rFonts w:hint="default" w:ascii="仿宋_GB2312" w:hAnsi="宋体" w:eastAsia="仿宋_GB2312" w:cs="宋体"/>
                <w:snapToGrid w:val="0"/>
                <w:color w:val="auto"/>
                <w:kern w:val="0"/>
                <w:szCs w:val="21"/>
              </w:rPr>
              <w:t>技术需求要点、</w:t>
            </w:r>
            <w:r>
              <w:rPr>
                <w:rFonts w:hint="eastAsia" w:ascii="仿宋_GB2312" w:hAnsi="宋体" w:eastAsia="仿宋_GB2312" w:cs="宋体"/>
                <w:snapToGrid w:val="0"/>
                <w:color w:val="auto"/>
                <w:kern w:val="0"/>
                <w:szCs w:val="21"/>
              </w:rPr>
              <w:t>预期达到的效果（技术指标、规格等）</w:t>
            </w:r>
          </w:p>
          <w:p>
            <w:pPr>
              <w:pStyle w:val="5"/>
              <w:keepNext w:val="0"/>
              <w:keepLines w:val="0"/>
              <w:widowControl/>
              <w:suppressLineNumbers w:val="0"/>
              <w:ind w:left="0" w:right="0" w:firstLine="420" w:firstLineChars="20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建材加工过程的碳排放占比30%以上，集料的粗放式加工导致级配和粒形不可控，集料的波动会严重影响到水泥、沥青用量和混合料质量，严重影响节碳减排。</w:t>
            </w:r>
            <w:r>
              <w:rPr>
                <w:rFonts w:hint="default" w:ascii="仿宋_GB2312" w:hAnsi="宋体" w:eastAsia="仿宋_GB2312" w:cs="宋体"/>
                <w:snapToGrid w:val="0"/>
                <w:color w:val="auto"/>
                <w:kern w:val="0"/>
                <w:szCs w:val="21"/>
              </w:rPr>
              <w:t>人工智能多模态融合关键技术</w:t>
            </w:r>
            <w:r>
              <w:rPr>
                <w:rFonts w:hint="default" w:ascii="仿宋_GB2312" w:hAnsi="宋体" w:eastAsia="仿宋_GB2312" w:cs="宋体"/>
                <w:snapToGrid w:val="0"/>
                <w:color w:val="auto"/>
                <w:kern w:val="0"/>
                <w:sz w:val="21"/>
                <w:szCs w:val="21"/>
                <w:lang w:val="en-US" w:eastAsia="zh-CN" w:bidi="ar-SA"/>
              </w:rPr>
              <w:t>构建绿色建材加工过程底层大数据预测模型，开发绿色建材智能精细化配方，实现集料智能低碳加工、集料多参数人工智能评价、绿色建材混合料智能搅拌及低碳循环建材产业园整体解决方案。</w:t>
            </w:r>
          </w:p>
          <w:p>
            <w:pPr>
              <w:pStyle w:val="5"/>
              <w:keepNext w:val="0"/>
              <w:keepLines w:val="0"/>
              <w:widowControl/>
              <w:suppressLineNumbers w:val="0"/>
              <w:ind w:left="0" w:right="0" w:firstLine="420" w:firstLineChars="20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围绕数字经济和人工智能技术建设智慧绿色产业园，技术攻关后将填补国内多项关键卡脖子技术空白，多项人工智能技术的攻克将显著提升建材制造和装备智能化水平，在节碳和资源循环方面使我国的建材装备达到国际同类水平。项目完成后主要的技术参数为：</w:t>
            </w:r>
          </w:p>
          <w:p>
            <w:pPr>
              <w:keepNext w:val="0"/>
              <w:keepLines w:val="0"/>
              <w:widowControl/>
              <w:numPr>
                <w:ilvl w:val="0"/>
                <w:numId w:val="1"/>
              </w:numPr>
              <w:suppressLineNumbers w:val="0"/>
              <w:spacing w:before="0" w:beforeAutospacing="1" w:after="0" w:afterAutospacing="1"/>
              <w:ind w:left="720" w:hanging="36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集料人工智能识别在线检测，识别准确率≥98%，识别种类≥6种；</w:t>
            </w:r>
          </w:p>
          <w:p>
            <w:pPr>
              <w:keepNext w:val="0"/>
              <w:keepLines w:val="0"/>
              <w:widowControl/>
              <w:numPr>
                <w:ilvl w:val="0"/>
                <w:numId w:val="1"/>
              </w:numPr>
              <w:suppressLineNumbers w:val="0"/>
              <w:spacing w:before="0" w:beforeAutospacing="1" w:after="0" w:afterAutospacing="1"/>
              <w:ind w:left="720" w:hanging="36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粗集料级配和粒形在线检测，级配测量误差≤±3%(对比筛分法)，粒形测量参数≥6种；</w:t>
            </w:r>
          </w:p>
          <w:p>
            <w:pPr>
              <w:keepNext w:val="0"/>
              <w:keepLines w:val="0"/>
              <w:widowControl/>
              <w:numPr>
                <w:ilvl w:val="0"/>
                <w:numId w:val="1"/>
              </w:numPr>
              <w:suppressLineNumbers w:val="0"/>
              <w:spacing w:before="0" w:beforeAutospacing="1" w:after="0" w:afterAutospacing="1"/>
              <w:ind w:left="720" w:hanging="36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机制砂细度模数在线检测，细度模数测量≤±0.2；</w:t>
            </w:r>
          </w:p>
          <w:p>
            <w:pPr>
              <w:keepNext w:val="0"/>
              <w:keepLines w:val="0"/>
              <w:widowControl/>
              <w:numPr>
                <w:ilvl w:val="0"/>
                <w:numId w:val="1"/>
              </w:numPr>
              <w:suppressLineNumbers w:val="0"/>
              <w:spacing w:before="0" w:beforeAutospacing="1" w:after="0" w:afterAutospacing="1"/>
              <w:ind w:left="720" w:hanging="36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智能破碎在线自适应反馈控制，出料级配偏差波动≤3%；</w:t>
            </w:r>
          </w:p>
          <w:p>
            <w:pPr>
              <w:keepNext w:val="0"/>
              <w:keepLines w:val="0"/>
              <w:widowControl/>
              <w:numPr>
                <w:ilvl w:val="0"/>
                <w:numId w:val="1"/>
              </w:numPr>
              <w:suppressLineNumbers w:val="0"/>
              <w:spacing w:before="0" w:beforeAutospacing="1" w:after="0" w:afterAutospacing="1"/>
              <w:ind w:left="720" w:hanging="36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实现混凝土坍落度多模态融合在线检测，坍落度预测精度≥95%（国标±30mm，本项目±20mm,对比传统的坍落度桶测量）；</w:t>
            </w:r>
          </w:p>
          <w:p>
            <w:pPr>
              <w:keepNext w:val="0"/>
              <w:keepLines w:val="0"/>
              <w:widowControl/>
              <w:numPr>
                <w:ilvl w:val="0"/>
                <w:numId w:val="1"/>
              </w:numPr>
              <w:suppressLineNumbers w:val="0"/>
              <w:spacing w:before="0" w:beforeAutospacing="1" w:after="0" w:afterAutospacing="1"/>
              <w:ind w:left="720" w:hanging="36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混凝土减碳比例≥20%；</w:t>
            </w:r>
          </w:p>
          <w:p>
            <w:pPr>
              <w:keepNext w:val="0"/>
              <w:keepLines w:val="0"/>
              <w:widowControl/>
              <w:numPr>
                <w:ilvl w:val="0"/>
                <w:numId w:val="1"/>
              </w:numPr>
              <w:suppressLineNumbers w:val="0"/>
              <w:spacing w:before="0" w:beforeAutospacing="1" w:after="0" w:afterAutospacing="1"/>
              <w:ind w:left="720" w:hanging="36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集料含水率在线检测误差≤±0.3；</w:t>
            </w:r>
          </w:p>
          <w:p>
            <w:pPr>
              <w:keepNext w:val="0"/>
              <w:keepLines w:val="0"/>
              <w:widowControl/>
              <w:numPr>
                <w:ilvl w:val="0"/>
                <w:numId w:val="1"/>
              </w:numPr>
              <w:suppressLineNumbers w:val="0"/>
              <w:spacing w:before="0" w:beforeAutospacing="1" w:after="0" w:afterAutospacing="1"/>
              <w:ind w:left="720" w:hanging="36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实现所有强度混凝土人工智能配方。</w:t>
            </w:r>
          </w:p>
          <w:p>
            <w:pPr>
              <w:spacing w:line="360" w:lineRule="auto"/>
              <w:jc w:val="both"/>
              <w:rPr>
                <w:rFonts w:hint="eastAsia" w:ascii="仿宋_GB2312" w:hAnsi="宋体" w:eastAsia="仿宋_GB2312" w:cs="宋体"/>
                <w:snapToGrid w:val="0"/>
                <w:color w:val="FF0000"/>
                <w:kern w:val="0"/>
                <w:szCs w:val="21"/>
              </w:rPr>
            </w:pPr>
          </w:p>
        </w:tc>
      </w:tr>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trHeight w:val="4923"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default" w:ascii="仿宋_GB2312" w:hAnsi="宋体" w:eastAsia="仿宋_GB2312" w:cs="宋体"/>
                <w:snapToGrid w:val="0"/>
                <w:color w:val="000000"/>
                <w:kern w:val="0"/>
                <w:szCs w:val="21"/>
              </w:rPr>
            </w:pPr>
            <w:r>
              <w:rPr>
                <w:rFonts w:hint="default" w:ascii="仿宋_GB2312" w:hAnsi="宋体" w:eastAsia="仿宋_GB2312" w:cs="宋体"/>
                <w:snapToGrid w:val="0"/>
                <w:color w:val="000000"/>
                <w:kern w:val="0"/>
                <w:szCs w:val="21"/>
              </w:rPr>
              <w:t>企业简介</w:t>
            </w:r>
          </w:p>
        </w:tc>
        <w:tc>
          <w:tcPr>
            <w:tcW w:w="7299" w:type="dxa"/>
            <w:gridSpan w:val="3"/>
            <w:tcBorders>
              <w:tl2br w:val="nil"/>
              <w:tr2bl w:val="nil"/>
            </w:tcBorders>
            <w:tcMar>
              <w:top w:w="0" w:type="dxa"/>
              <w:left w:w="108" w:type="dxa"/>
              <w:bottom w:w="0" w:type="dxa"/>
              <w:right w:w="108" w:type="dxa"/>
            </w:tcMar>
            <w:vAlign w:val="top"/>
          </w:tcPr>
          <w:p>
            <w:pPr>
              <w:spacing w:line="360" w:lineRule="auto"/>
              <w:jc w:val="both"/>
              <w:rPr>
                <w:rFonts w:hint="eastAsia" w:ascii="仿宋_GB2312" w:hAnsi="宋体" w:eastAsia="仿宋_GB2312" w:cs="宋体"/>
                <w:snapToGrid w:val="0"/>
                <w:color w:val="auto"/>
                <w:kern w:val="0"/>
                <w:szCs w:val="21"/>
              </w:rPr>
            </w:pPr>
            <w:r>
              <w:rPr>
                <w:rFonts w:hint="eastAsia" w:ascii="仿宋_GB2312" w:hAnsi="宋体" w:eastAsia="仿宋_GB2312" w:cs="宋体"/>
                <w:snapToGrid w:val="0"/>
                <w:color w:val="auto"/>
                <w:kern w:val="0"/>
                <w:szCs w:val="21"/>
              </w:rPr>
              <w:t>介绍企业基本信息、</w:t>
            </w:r>
            <w:r>
              <w:rPr>
                <w:rFonts w:hint="default" w:ascii="仿宋_GB2312" w:hAnsi="宋体" w:eastAsia="仿宋_GB2312" w:cs="宋体"/>
                <w:snapToGrid w:val="0"/>
                <w:color w:val="auto"/>
                <w:kern w:val="0"/>
                <w:szCs w:val="21"/>
              </w:rPr>
              <w:t>企业规模、行业归属、</w:t>
            </w:r>
            <w:r>
              <w:rPr>
                <w:rFonts w:hint="eastAsia" w:ascii="仿宋_GB2312" w:hAnsi="宋体" w:eastAsia="仿宋_GB2312" w:cs="宋体"/>
                <w:snapToGrid w:val="0"/>
                <w:color w:val="auto"/>
                <w:kern w:val="0"/>
                <w:szCs w:val="21"/>
              </w:rPr>
              <w:t>主要产品及发展方向等</w:t>
            </w:r>
          </w:p>
          <w:p>
            <w:pPr>
              <w:ind w:firstLine="600"/>
              <w:rPr>
                <w:rFonts w:hint="default" w:ascii="仿宋_GB2312" w:hAnsi="宋体" w:eastAsia="仿宋_GB2312" w:cs="宋体"/>
                <w:snapToGrid w:val="0"/>
                <w:color w:val="auto"/>
                <w:kern w:val="0"/>
                <w:sz w:val="21"/>
                <w:szCs w:val="21"/>
                <w:lang w:val="en-US" w:eastAsia="zh-CN" w:bidi="ar-SA"/>
              </w:rPr>
            </w:pPr>
            <w:r>
              <w:rPr>
                <w:rFonts w:hint="eastAsia" w:ascii="仿宋_GB2312" w:hAnsi="宋体" w:eastAsia="仿宋_GB2312" w:cs="宋体"/>
                <w:snapToGrid w:val="0"/>
                <w:color w:val="auto"/>
                <w:kern w:val="0"/>
                <w:sz w:val="21"/>
                <w:szCs w:val="21"/>
                <w:lang w:val="en-US" w:eastAsia="zh-CN" w:bidi="ar-SA"/>
              </w:rPr>
              <w:t>福建南方路面机械股份有限公司创立于1997年，近30年的高质量发展，已经形成了物料处理、工程搅拌、建废处理三大板块协同驱动的业务格局，并创造性地为市场提供绿色循环建材整体解决方案，实现全产业链完整的闭环。2022年销售收入达12亿元。</w:t>
            </w:r>
          </w:p>
          <w:p>
            <w:pPr>
              <w:ind w:firstLine="600"/>
              <w:rPr>
                <w:rFonts w:hint="default" w:ascii="仿宋_GB2312" w:hAnsi="宋体" w:eastAsia="仿宋_GB2312" w:cs="宋体"/>
                <w:snapToGrid w:val="0"/>
                <w:color w:val="auto"/>
                <w:kern w:val="0"/>
                <w:sz w:val="21"/>
                <w:szCs w:val="21"/>
                <w:lang w:val="en-US" w:eastAsia="zh-CN" w:bidi="ar-SA"/>
              </w:rPr>
            </w:pPr>
            <w:r>
              <w:rPr>
                <w:rFonts w:hint="eastAsia" w:ascii="仿宋_GB2312" w:hAnsi="宋体" w:eastAsia="仿宋_GB2312" w:cs="宋体"/>
                <w:snapToGrid w:val="0"/>
                <w:color w:val="auto"/>
                <w:kern w:val="0"/>
                <w:sz w:val="21"/>
                <w:szCs w:val="21"/>
                <w:lang w:val="en-US" w:eastAsia="zh-CN" w:bidi="ar-SA"/>
              </w:rPr>
              <w:t>公司注重创新引领行业技术进步的工作，始终致力于为客户提供最合适的建废资源化整体解决方案，同时组成了业内非常完备的建废资源化处理装备工业超市，从给料设备到破碎设备，从筛分设备到分选设备，一应俱全。公司主要实施矿山尾矿综合利用，路面路基旧料再生，余泥、地铁盾构渣土、工程渣土的回收处理，砂石骨料水洗、拆建垃圾、装潢垃圾、大件垃圾、园林垃圾等废弃物的再生利用。公司在行业内率先为客户提供“破碎智慧控制管理系统”“固废智慧控制管理系统”“商混智慧控制管理系统”“干混智慧控制管理系统”“沥青智慧控制管理系统”“建废智慧控制管理系统”“移动破碎智慧控制管理系统”“智能集控方案”，建立了“构筑新基建、赋能旧基建”企业营销体系。</w:t>
            </w:r>
          </w:p>
          <w:p>
            <w:pPr>
              <w:ind w:firstLine="600"/>
              <w:rPr>
                <w:rFonts w:hint="eastAsia" w:ascii="仿宋_GB2312" w:hAnsi="宋体" w:eastAsia="仿宋_GB2312" w:cs="宋体"/>
                <w:snapToGrid w:val="0"/>
                <w:color w:val="auto"/>
                <w:kern w:val="0"/>
                <w:sz w:val="21"/>
                <w:szCs w:val="21"/>
                <w:lang w:val="en-US" w:eastAsia="zh-CN" w:bidi="ar-SA"/>
              </w:rPr>
            </w:pPr>
            <w:r>
              <w:rPr>
                <w:rFonts w:hint="eastAsia" w:ascii="仿宋_GB2312" w:hAnsi="宋体" w:eastAsia="仿宋_GB2312" w:cs="宋体"/>
                <w:snapToGrid w:val="0"/>
                <w:color w:val="auto"/>
                <w:kern w:val="0"/>
                <w:sz w:val="21"/>
                <w:szCs w:val="21"/>
                <w:lang w:val="en-US" w:eastAsia="zh-CN" w:bidi="ar-SA"/>
              </w:rPr>
              <w:t>公司是福建环保产业百强企业，公司先后获得“中国工程机械专业化制造商50强”、“全球工程机械制造商100强”、“中国搅拌机械装备企业10强”、“中国预拌砂浆行业最具影响力品牌”，泉州民营企业100强第51名。公司已与中国中铁、中广核、中国交建、北京建工、宁波建工、立邦、德高建材、快可美、东方雨虹等国内外知名企业建立了稳定的合作关系。公司在行业内拥有较高的知名度与美誉度，产品已成功运用于港珠澳大桥、深圳大湾区建设、中广核核电项目、最长沙漠高速公路（京新高速）等国家战略工程，其中中广核核电项目代表国产自主品牌搅拌站进入核电项目领域，港珠澳大桥项目中公司的整形制砂设备运用于桥面铺装所需的集料生产线，代表了行业高水准的集料加工技术。</w:t>
            </w:r>
          </w:p>
          <w:p>
            <w:pPr>
              <w:wordWrap w:val="0"/>
              <w:spacing w:line="400" w:lineRule="exact"/>
              <w:ind w:firstLine="420" w:firstLineChars="200"/>
              <w:rPr>
                <w:rFonts w:hint="eastAsia" w:ascii="仿宋_GB2312" w:hAnsi="宋体" w:eastAsia="仿宋_GB2312" w:cs="宋体"/>
                <w:snapToGrid w:val="0"/>
                <w:color w:val="auto"/>
                <w:kern w:val="0"/>
                <w:sz w:val="21"/>
                <w:szCs w:val="21"/>
                <w:lang w:val="en-US" w:eastAsia="zh-CN" w:bidi="ar-SA"/>
              </w:rPr>
            </w:pPr>
            <w:r>
              <w:rPr>
                <w:rFonts w:hint="eastAsia" w:ascii="仿宋_GB2312" w:hAnsi="宋体" w:eastAsia="仿宋_GB2312" w:cs="宋体"/>
                <w:snapToGrid w:val="0"/>
                <w:color w:val="auto"/>
                <w:kern w:val="0"/>
                <w:sz w:val="21"/>
                <w:szCs w:val="21"/>
                <w:lang w:val="en-US" w:eastAsia="zh-CN" w:bidi="ar-SA"/>
              </w:rPr>
              <w:t>公司建有企业技术中心，拥有各类研发仪器设备原总价值3000多万元，研发场地5000多平方米，被评为福建省企业技术中心和国家企业技术中心，拥有技术研发人员265人，其中高级职称共21人，占比7.92%。迄今已获得多项省市级科技进步奖，获得授权专利共计576项，其中发明专利87项，是名至实归的技术派。公司与行业知名高校深度合作，聘请有丰富行业项目开发经验的高校博士生导师和工程机械行业的专家定期来公司工作指导，积极吸纳专业博士参与公司的研发项目。国家人事部《关于批准中国移动通信集团公司等278个单位设立博士后科研工作站的通知》(国人部发(2006)53号)中，公司凭借自身科研实力，被批准成为其中混凝土搅拌设备行业的唯一厂家。2013年，福建绿色建材装备研究院成立。依托南方路机技术，整合行业内优质资源，以华侨大学、同济大学、武汉理工大学、长安大学、机械科学研究总院海西分院等国内外知名高校及知名研究院为依托，为客户量身定制解决方案，致力于打造成一个为绿色建材企业提供全面高端技术服务的平台。</w:t>
            </w:r>
          </w:p>
          <w:p>
            <w:pPr>
              <w:spacing w:line="360" w:lineRule="auto"/>
              <w:jc w:val="both"/>
              <w:rPr>
                <w:rFonts w:hint="eastAsia" w:ascii="仿宋_GB2312" w:hAnsi="宋体" w:eastAsia="仿宋_GB2312" w:cs="宋体"/>
                <w:snapToGrid w:val="0"/>
                <w:color w:val="FF0000"/>
                <w:kern w:val="0"/>
                <w:szCs w:val="21"/>
              </w:rPr>
            </w:pPr>
          </w:p>
        </w:tc>
      </w:tr>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trHeight w:val="1319"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企业</w:t>
            </w:r>
            <w:r>
              <w:rPr>
                <w:rFonts w:hint="default" w:ascii="仿宋_GB2312" w:hAnsi="宋体" w:eastAsia="仿宋_GB2312" w:cs="宋体"/>
                <w:snapToGrid w:val="0"/>
                <w:color w:val="000000"/>
                <w:kern w:val="0"/>
                <w:szCs w:val="21"/>
              </w:rPr>
              <w:t>上</w:t>
            </w:r>
            <w:r>
              <w:rPr>
                <w:rFonts w:hint="eastAsia" w:ascii="仿宋_GB2312" w:hAnsi="宋体" w:eastAsia="仿宋_GB2312" w:cs="宋体"/>
                <w:snapToGrid w:val="0"/>
                <w:color w:val="000000"/>
                <w:kern w:val="0"/>
                <w:szCs w:val="21"/>
              </w:rPr>
              <w:t>年度</w:t>
            </w:r>
            <w:r>
              <w:rPr>
                <w:rFonts w:hint="default" w:ascii="仿宋_GB2312" w:hAnsi="宋体" w:eastAsia="仿宋_GB2312" w:cs="宋体"/>
                <w:snapToGrid w:val="0"/>
                <w:color w:val="000000"/>
                <w:kern w:val="0"/>
                <w:szCs w:val="21"/>
              </w:rPr>
              <w:t>销售额</w:t>
            </w:r>
          </w:p>
        </w:tc>
        <w:tc>
          <w:tcPr>
            <w:tcW w:w="7299" w:type="dxa"/>
            <w:gridSpan w:val="3"/>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1000万以下</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 xml:space="preserve"> □</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1000万-5000万</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5000万-1亿</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 xml:space="preserve"> </w:t>
            </w:r>
          </w:p>
          <w:p>
            <w:pPr>
              <w:spacing w:line="360" w:lineRule="auto"/>
              <w:jc w:val="both"/>
              <w:rPr>
                <w:rFonts w:hint="default"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w:t>
            </w:r>
            <w:r>
              <w:rPr>
                <w:rFonts w:hint="default" w:ascii="仿宋_GB2312" w:hAnsi="宋体" w:eastAsia="仿宋_GB2312" w:cs="宋体"/>
                <w:snapToGrid w:val="0"/>
                <w:color w:val="000000"/>
                <w:kern w:val="0"/>
                <w:szCs w:val="21"/>
              </w:rPr>
              <w:t xml:space="preserve"> 1</w:t>
            </w:r>
            <w:r>
              <w:rPr>
                <w:rFonts w:hint="eastAsia" w:ascii="仿宋_GB2312" w:hAnsi="宋体" w:eastAsia="仿宋_GB2312" w:cs="宋体"/>
                <w:snapToGrid w:val="0"/>
                <w:color w:val="000000"/>
                <w:kern w:val="0"/>
                <w:szCs w:val="21"/>
              </w:rPr>
              <w:t>亿-2亿</w:t>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sym w:font="Wingdings 2" w:char="0052"/>
            </w:r>
            <w:r>
              <w:rPr>
                <w:rFonts w:hint="default" w:ascii="仿宋_GB2312" w:hAnsi="宋体" w:eastAsia="仿宋_GB2312" w:cs="宋体"/>
                <w:snapToGrid w:val="0"/>
                <w:color w:val="000000"/>
                <w:kern w:val="0"/>
                <w:szCs w:val="21"/>
              </w:rPr>
              <w:t xml:space="preserve"> </w:t>
            </w:r>
            <w:r>
              <w:rPr>
                <w:rFonts w:hint="eastAsia" w:ascii="仿宋_GB2312" w:hAnsi="宋体" w:eastAsia="仿宋_GB2312" w:cs="宋体"/>
                <w:snapToGrid w:val="0"/>
                <w:color w:val="000000"/>
                <w:kern w:val="0"/>
                <w:szCs w:val="21"/>
              </w:rPr>
              <w:t>2亿以上</w:t>
            </w:r>
          </w:p>
          <w:p>
            <w:pPr>
              <w:spacing w:line="360" w:lineRule="auto"/>
              <w:jc w:val="both"/>
              <w:rPr>
                <w:rFonts w:hint="eastAsia" w:ascii="仿宋_GB2312" w:hAnsi="宋体" w:eastAsia="仿宋_GB2312" w:cs="宋体"/>
                <w:snapToGrid w:val="0"/>
                <w:color w:val="000000"/>
                <w:kern w:val="0"/>
                <w:szCs w:val="21"/>
              </w:rPr>
            </w:pPr>
            <w:r>
              <w:rPr>
                <w:rFonts w:hint="default" w:ascii="仿宋_GB2312" w:hAnsi="宋体" w:eastAsia="仿宋_GB2312" w:cs="宋体"/>
                <w:snapToGrid w:val="0"/>
                <w:color w:val="auto"/>
                <w:kern w:val="0"/>
                <w:szCs w:val="21"/>
              </w:rPr>
              <w:t>年度销售额根据实际情况可选填。</w:t>
            </w:r>
          </w:p>
        </w:tc>
      </w:tr>
      <w:tr>
        <w:tblPrEx>
          <w:tblBorders>
            <w:top w:val="single" w:color="7E7E7E" w:themeColor="background1" w:themeShade="7F" w:sz="4" w:space="0"/>
            <w:left w:val="single" w:color="7E7E7E" w:themeColor="background1" w:themeShade="7F" w:sz="4" w:space="0"/>
            <w:bottom w:val="single" w:color="7E7E7E" w:themeColor="background1" w:themeShade="7F" w:sz="4" w:space="0"/>
            <w:right w:val="single" w:color="7E7E7E" w:themeColor="background1" w:themeShade="7F" w:sz="4" w:space="0"/>
            <w:insideH w:val="single" w:color="7E7E7E" w:themeColor="background1" w:themeShade="7F" w:sz="4" w:space="0"/>
            <w:insideV w:val="single" w:color="7E7E7E" w:themeColor="background1" w:themeShade="7F" w:sz="4" w:space="0"/>
          </w:tblBorders>
        </w:tblPrEx>
        <w:trPr>
          <w:trHeight w:val="1812" w:hRule="atLeast"/>
        </w:trPr>
        <w:tc>
          <w:tcPr>
            <w:tcW w:w="1466" w:type="dxa"/>
            <w:tcBorders>
              <w:tl2br w:val="nil"/>
              <w:tr2bl w:val="nil"/>
            </w:tcBorders>
            <w:tcMar>
              <w:top w:w="0" w:type="dxa"/>
              <w:left w:w="108" w:type="dxa"/>
              <w:bottom w:w="0" w:type="dxa"/>
              <w:right w:w="108" w:type="dxa"/>
            </w:tcMar>
            <w:vAlign w:val="center"/>
          </w:tcPr>
          <w:p>
            <w:pPr>
              <w:spacing w:line="360" w:lineRule="auto"/>
              <w:jc w:val="both"/>
              <w:rPr>
                <w:rFonts w:hint="eastAsia" w:ascii="仿宋_GB2312" w:hAnsi="宋体" w:eastAsia="仿宋_GB2312" w:cs="宋体"/>
                <w:snapToGrid w:val="0"/>
                <w:color w:val="000000"/>
                <w:kern w:val="0"/>
                <w:szCs w:val="21"/>
              </w:rPr>
            </w:pPr>
            <w:r>
              <w:rPr>
                <w:rFonts w:hint="eastAsia" w:ascii="仿宋_GB2312" w:hAnsi="宋体" w:eastAsia="仿宋_GB2312" w:cs="宋体"/>
                <w:snapToGrid w:val="0"/>
                <w:color w:val="000000"/>
                <w:kern w:val="0"/>
                <w:szCs w:val="21"/>
              </w:rPr>
              <w:t>补充材料</w:t>
            </w:r>
          </w:p>
        </w:tc>
        <w:tc>
          <w:tcPr>
            <w:tcW w:w="7299" w:type="dxa"/>
            <w:gridSpan w:val="3"/>
            <w:tcBorders>
              <w:tl2br w:val="nil"/>
              <w:tr2bl w:val="nil"/>
            </w:tcBorders>
            <w:tcMar>
              <w:top w:w="0" w:type="dxa"/>
              <w:left w:w="108" w:type="dxa"/>
              <w:bottom w:w="0" w:type="dxa"/>
              <w:right w:w="108" w:type="dxa"/>
            </w:tcMar>
            <w:vAlign w:val="center"/>
          </w:tcPr>
          <w:p>
            <w:pPr>
              <w:keepNext w:val="0"/>
              <w:keepLines w:val="0"/>
              <w:widowControl/>
              <w:numPr>
                <w:ilvl w:val="0"/>
                <w:numId w:val="2"/>
              </w:numPr>
              <w:suppressLineNumbers w:val="0"/>
              <w:spacing w:before="0" w:beforeAutospacing="1" w:after="0" w:afterAutospacing="1"/>
              <w:ind w:left="425" w:leftChars="0" w:hanging="425" w:firstLineChars="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粗集料级配和粒形在线检测，级配测量误差≤±3%(对比筛分法)，粒形测量参数≥6种；</w:t>
            </w:r>
          </w:p>
          <w:p>
            <w:pPr>
              <w:pStyle w:val="2"/>
              <w:ind w:left="0" w:leftChars="0" w:firstLine="0" w:firstLineChars="0"/>
              <w:rPr>
                <w:rFonts w:hint="default"/>
                <w:lang w:val="en-US" w:eastAsia="zh-CN"/>
              </w:rPr>
            </w:pPr>
            <w:r>
              <w:drawing>
                <wp:inline distT="0" distB="0" distL="114300" distR="114300">
                  <wp:extent cx="2158365" cy="1470025"/>
                  <wp:effectExtent l="0" t="0" r="635" b="3175"/>
                  <wp:docPr id="15" name="图片 14"/>
                  <wp:cNvGraphicFramePr/>
                  <a:graphic xmlns:a="http://schemas.openxmlformats.org/drawingml/2006/main">
                    <a:graphicData uri="http://schemas.openxmlformats.org/drawingml/2006/picture">
                      <pic:pic xmlns:pic="http://schemas.openxmlformats.org/drawingml/2006/picture">
                        <pic:nvPicPr>
                          <pic:cNvPr id="15" name="图片 14"/>
                          <pic:cNvPicPr/>
                        </pic:nvPicPr>
                        <pic:blipFill>
                          <a:blip r:embed="rId4" cstate="email"/>
                          <a:stretch>
                            <a:fillRect/>
                          </a:stretch>
                        </pic:blipFill>
                        <pic:spPr>
                          <a:xfrm>
                            <a:off x="0" y="0"/>
                            <a:ext cx="2158365" cy="1470025"/>
                          </a:xfrm>
                          <a:prstGeom prst="roundRect">
                            <a:avLst>
                              <a:gd name="adj" fmla="val 4130"/>
                            </a:avLst>
                          </a:prstGeom>
                          <a:solidFill>
                            <a:srgbClr val="FFFFFF">
                              <a:shade val="85000"/>
                            </a:srgbClr>
                          </a:solidFill>
                          <a:ln>
                            <a:noFill/>
                          </a:ln>
                          <a:effectLst/>
                        </pic:spPr>
                      </pic:pic>
                    </a:graphicData>
                  </a:graphic>
                </wp:inline>
              </w:drawing>
            </w:r>
            <w:r>
              <w:drawing>
                <wp:inline distT="0" distB="0" distL="114300" distR="114300">
                  <wp:extent cx="1985645" cy="1477010"/>
                  <wp:effectExtent l="0" t="0" r="8255" b="8890"/>
                  <wp:docPr id="3" name="图片 2"/>
                  <wp:cNvGraphicFramePr/>
                  <a:graphic xmlns:a="http://schemas.openxmlformats.org/drawingml/2006/main">
                    <a:graphicData uri="http://schemas.openxmlformats.org/drawingml/2006/picture">
                      <pic:pic xmlns:pic="http://schemas.openxmlformats.org/drawingml/2006/picture">
                        <pic:nvPicPr>
                          <pic:cNvPr id="3" name="图片 2"/>
                          <pic:cNvPicPr/>
                        </pic:nvPicPr>
                        <pic:blipFill>
                          <a:blip r:embed="rId5" cstate="email"/>
                          <a:stretch>
                            <a:fillRect/>
                          </a:stretch>
                        </pic:blipFill>
                        <pic:spPr>
                          <a:xfrm>
                            <a:off x="0" y="0"/>
                            <a:ext cx="1985645" cy="1477010"/>
                          </a:xfrm>
                          <a:prstGeom prst="roundRect">
                            <a:avLst>
                              <a:gd name="adj" fmla="val 4130"/>
                            </a:avLst>
                          </a:prstGeom>
                          <a:solidFill>
                            <a:srgbClr val="FFFFFF">
                              <a:shade val="85000"/>
                            </a:srgbClr>
                          </a:solidFill>
                          <a:ln>
                            <a:noFill/>
                          </a:ln>
                          <a:effectLst/>
                        </pic:spPr>
                      </pic:pic>
                    </a:graphicData>
                  </a:graphic>
                </wp:inline>
              </w:drawing>
            </w:r>
          </w:p>
          <w:p>
            <w:pPr>
              <w:keepNext w:val="0"/>
              <w:keepLines w:val="0"/>
              <w:widowControl/>
              <w:numPr>
                <w:ilvl w:val="0"/>
                <w:numId w:val="2"/>
              </w:numPr>
              <w:suppressLineNumbers w:val="0"/>
              <w:spacing w:before="0" w:beforeAutospacing="1" w:after="0" w:afterAutospacing="1"/>
              <w:ind w:left="425" w:leftChars="0" w:hanging="425" w:firstLineChars="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机制砂细度模数在线检测，细度模数测量≤±0.2；</w:t>
            </w:r>
          </w:p>
          <w:p>
            <w:pPr>
              <w:pStyle w:val="2"/>
              <w:ind w:left="0" w:leftChars="0" w:firstLine="0" w:firstLineChars="0"/>
              <w:rPr>
                <w:rFonts w:hint="default"/>
                <w:lang w:val="en-US" w:eastAsia="zh-CN"/>
              </w:rPr>
            </w:pPr>
            <w:r>
              <w:drawing>
                <wp:inline distT="0" distB="0" distL="114300" distR="114300">
                  <wp:extent cx="2018665" cy="1581785"/>
                  <wp:effectExtent l="19050" t="19050" r="19685" b="24765"/>
                  <wp:docPr id="2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0"/>
                          <pic:cNvPicPr>
                            <a:picLocks noChangeAspect="1"/>
                          </pic:cNvPicPr>
                        </pic:nvPicPr>
                        <pic:blipFill>
                          <a:blip r:embed="rId6" cstate="email"/>
                          <a:srcRect/>
                          <a:stretch>
                            <a:fillRect/>
                          </a:stretch>
                        </pic:blipFill>
                        <pic:spPr>
                          <a:xfrm>
                            <a:off x="0" y="0"/>
                            <a:ext cx="2018665" cy="1581785"/>
                          </a:xfrm>
                          <a:prstGeom prst="roundRect">
                            <a:avLst>
                              <a:gd name="adj" fmla="val 3131"/>
                            </a:avLst>
                          </a:prstGeom>
                          <a:solidFill>
                            <a:srgbClr val="FFFFFF">
                              <a:shade val="85000"/>
                            </a:srgbClr>
                          </a:solidFill>
                          <a:ln w="19050">
                            <a:solidFill>
                              <a:schemeClr val="bg2"/>
                            </a:solidFill>
                          </a:ln>
                          <a:effectLst/>
                        </pic:spPr>
                      </pic:pic>
                    </a:graphicData>
                  </a:graphic>
                </wp:inline>
              </w:drawing>
            </w:r>
            <w:r>
              <w:drawing>
                <wp:inline distT="0" distB="0" distL="114300" distR="114300">
                  <wp:extent cx="2278380" cy="1605915"/>
                  <wp:effectExtent l="0" t="0" r="7620" b="698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cstate="email"/>
                          <a:stretch>
                            <a:fillRect/>
                          </a:stretch>
                        </pic:blipFill>
                        <pic:spPr>
                          <a:xfrm>
                            <a:off x="0" y="0"/>
                            <a:ext cx="2278380" cy="1605915"/>
                          </a:xfrm>
                          <a:prstGeom prst="roundRect">
                            <a:avLst>
                              <a:gd name="adj" fmla="val 3131"/>
                            </a:avLst>
                          </a:prstGeom>
                          <a:solidFill>
                            <a:srgbClr val="FFFFFF">
                              <a:shade val="85000"/>
                            </a:srgbClr>
                          </a:solidFill>
                          <a:ln>
                            <a:noFill/>
                          </a:ln>
                          <a:effectLst/>
                        </pic:spPr>
                      </pic:pic>
                    </a:graphicData>
                  </a:graphic>
                </wp:inline>
              </w:drawing>
            </w:r>
          </w:p>
          <w:p>
            <w:pPr>
              <w:keepNext w:val="0"/>
              <w:keepLines w:val="0"/>
              <w:widowControl/>
              <w:numPr>
                <w:ilvl w:val="0"/>
                <w:numId w:val="2"/>
              </w:numPr>
              <w:suppressLineNumbers w:val="0"/>
              <w:spacing w:before="0" w:beforeAutospacing="1" w:after="0" w:afterAutospacing="1"/>
              <w:ind w:left="425" w:leftChars="0" w:hanging="425" w:firstLineChars="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智能破碎在线自适应反馈控制，出料级配偏差波动≤3%；</w:t>
            </w:r>
          </w:p>
          <w:p>
            <w:pPr>
              <w:pStyle w:val="2"/>
              <w:ind w:left="0" w:leftChars="0" w:firstLine="0" w:firstLineChars="0"/>
              <w:rPr>
                <w:rFonts w:hint="default"/>
                <w:lang w:val="en-US" w:eastAsia="zh-CN"/>
              </w:rPr>
            </w:pPr>
            <w:r>
              <w:drawing>
                <wp:inline distT="0" distB="0" distL="114300" distR="114300">
                  <wp:extent cx="2101850" cy="1797050"/>
                  <wp:effectExtent l="0" t="0" r="6350" b="6350"/>
                  <wp:docPr id="1" name="图片 5"/>
                  <wp:cNvGraphicFramePr/>
                  <a:graphic xmlns:a="http://schemas.openxmlformats.org/drawingml/2006/main">
                    <a:graphicData uri="http://schemas.openxmlformats.org/drawingml/2006/picture">
                      <pic:pic xmlns:pic="http://schemas.openxmlformats.org/drawingml/2006/picture">
                        <pic:nvPicPr>
                          <pic:cNvPr id="1" name="图片 5"/>
                          <pic:cNvPicPr/>
                        </pic:nvPicPr>
                        <pic:blipFill>
                          <a:blip r:embed="rId8" cstate="email"/>
                          <a:srcRect l="9445" r="24485"/>
                          <a:stretch>
                            <a:fillRect/>
                          </a:stretch>
                        </pic:blipFill>
                        <pic:spPr>
                          <a:xfrm>
                            <a:off x="0" y="0"/>
                            <a:ext cx="2101850" cy="1797050"/>
                          </a:xfrm>
                          <a:prstGeom prst="roundRect">
                            <a:avLst>
                              <a:gd name="adj" fmla="val 5182"/>
                            </a:avLst>
                          </a:prstGeom>
                          <a:solidFill>
                            <a:srgbClr val="FFFFFF">
                              <a:shade val="85000"/>
                            </a:srgbClr>
                          </a:solidFill>
                          <a:ln>
                            <a:noFill/>
                          </a:ln>
                          <a:effectLst/>
                        </pic:spPr>
                      </pic:pic>
                    </a:graphicData>
                  </a:graphic>
                </wp:inline>
              </w:drawing>
            </w:r>
            <w:r>
              <w:drawing>
                <wp:inline distT="0" distB="0" distL="114300" distR="114300">
                  <wp:extent cx="2267585" cy="1757680"/>
                  <wp:effectExtent l="0" t="0" r="5715" b="7620"/>
                  <wp:docPr id="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5"/>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67585" cy="1757680"/>
                          </a:xfrm>
                          <a:prstGeom prst="roundRect">
                            <a:avLst>
                              <a:gd name="adj" fmla="val 5182"/>
                            </a:avLst>
                          </a:prstGeom>
                          <a:solidFill>
                            <a:srgbClr val="FFFFFF">
                              <a:shade val="85000"/>
                            </a:srgbClr>
                          </a:solidFill>
                          <a:ln>
                            <a:noFill/>
                          </a:ln>
                          <a:effectLst/>
                        </pic:spPr>
                      </pic:pic>
                    </a:graphicData>
                  </a:graphic>
                </wp:inline>
              </w:drawing>
            </w:r>
          </w:p>
          <w:p>
            <w:pPr>
              <w:keepNext w:val="0"/>
              <w:keepLines w:val="0"/>
              <w:widowControl/>
              <w:numPr>
                <w:ilvl w:val="0"/>
                <w:numId w:val="2"/>
              </w:numPr>
              <w:suppressLineNumbers w:val="0"/>
              <w:spacing w:before="0" w:beforeAutospacing="1" w:after="0" w:afterAutospacing="1"/>
              <w:ind w:left="425" w:leftChars="0" w:hanging="425" w:firstLineChars="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实现混凝土坍落度多模态融合在线检测，坍落度预测精度≥95%（国标±30mm，本项目±20mm,对比传统的坍落度桶测量）；</w:t>
            </w:r>
          </w:p>
          <w:p>
            <w:pPr>
              <w:pStyle w:val="2"/>
              <w:ind w:left="0" w:leftChars="0" w:firstLine="0" w:firstLineChars="0"/>
              <w:rPr>
                <w:rFonts w:hint="default"/>
                <w:lang w:val="en-US" w:eastAsia="zh-CN"/>
              </w:rPr>
            </w:pPr>
            <w:r>
              <w:drawing>
                <wp:inline distT="0" distB="0" distL="114300" distR="114300">
                  <wp:extent cx="2072640" cy="1539875"/>
                  <wp:effectExtent l="0" t="0" r="10160" b="952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10" cstate="print">
                            <a:extLst>
                              <a:ext uri="{28A0092B-C50C-407E-A947-70E740481C1C}">
                                <a14:useLocalDpi xmlns:a14="http://schemas.microsoft.com/office/drawing/2010/main" val="0"/>
                              </a:ext>
                            </a:extLst>
                          </a:blip>
                          <a:srcRect l="17924" t="699"/>
                          <a:stretch>
                            <a:fillRect/>
                          </a:stretch>
                        </pic:blipFill>
                        <pic:spPr>
                          <a:xfrm>
                            <a:off x="0" y="0"/>
                            <a:ext cx="2072640" cy="1539875"/>
                          </a:xfrm>
                          <a:prstGeom prst="roundRect">
                            <a:avLst>
                              <a:gd name="adj" fmla="val 4130"/>
                            </a:avLst>
                          </a:prstGeom>
                          <a:solidFill>
                            <a:srgbClr val="FFFFFF">
                              <a:shade val="85000"/>
                            </a:srgbClr>
                          </a:solidFill>
                          <a:ln>
                            <a:noFill/>
                          </a:ln>
                          <a:effectLst/>
                        </pic:spPr>
                      </pic:pic>
                    </a:graphicData>
                  </a:graphic>
                </wp:inline>
              </w:drawing>
            </w:r>
            <w:r>
              <w:drawing>
                <wp:inline distT="0" distB="0" distL="114300" distR="114300">
                  <wp:extent cx="2284730" cy="1510030"/>
                  <wp:effectExtent l="0" t="0" r="1270" b="1270"/>
                  <wp:docPr id="6" name="图片 5"/>
                  <wp:cNvGraphicFramePr/>
                  <a:graphic xmlns:a="http://schemas.openxmlformats.org/drawingml/2006/main">
                    <a:graphicData uri="http://schemas.openxmlformats.org/drawingml/2006/picture">
                      <pic:pic xmlns:pic="http://schemas.openxmlformats.org/drawingml/2006/picture">
                        <pic:nvPicPr>
                          <pic:cNvPr id="6" name="图片 5"/>
                          <pic:cNvPicPr/>
                        </pic:nvPicPr>
                        <pic:blipFill>
                          <a:blip r:embed="rId11" cstate="email"/>
                          <a:stretch>
                            <a:fillRect/>
                          </a:stretch>
                        </pic:blipFill>
                        <pic:spPr>
                          <a:xfrm>
                            <a:off x="0" y="0"/>
                            <a:ext cx="2284730" cy="1510030"/>
                          </a:xfrm>
                          <a:prstGeom prst="roundRect">
                            <a:avLst>
                              <a:gd name="adj" fmla="val 4130"/>
                            </a:avLst>
                          </a:prstGeom>
                          <a:solidFill>
                            <a:srgbClr val="FFFFFF">
                              <a:shade val="85000"/>
                            </a:srgbClr>
                          </a:solidFill>
                          <a:ln>
                            <a:noFill/>
                          </a:ln>
                          <a:effectLst/>
                        </pic:spPr>
                      </pic:pic>
                    </a:graphicData>
                  </a:graphic>
                </wp:inline>
              </w:drawing>
            </w:r>
          </w:p>
          <w:p>
            <w:pPr>
              <w:keepNext w:val="0"/>
              <w:keepLines w:val="0"/>
              <w:widowControl/>
              <w:numPr>
                <w:ilvl w:val="0"/>
                <w:numId w:val="2"/>
              </w:numPr>
              <w:suppressLineNumbers w:val="0"/>
              <w:spacing w:before="0" w:beforeAutospacing="1" w:after="0" w:afterAutospacing="1"/>
              <w:ind w:left="425" w:leftChars="0" w:hanging="425" w:firstLineChars="0"/>
              <w:jc w:val="left"/>
              <w:rPr>
                <w:rFonts w:hint="default" w:ascii="仿宋_GB2312" w:hAnsi="宋体" w:eastAsia="仿宋_GB2312" w:cs="宋体"/>
                <w:snapToGrid w:val="0"/>
                <w:color w:val="auto"/>
                <w:kern w:val="0"/>
                <w:sz w:val="21"/>
                <w:szCs w:val="21"/>
                <w:lang w:val="en-US" w:eastAsia="zh-CN" w:bidi="ar-SA"/>
              </w:rPr>
            </w:pPr>
            <w:r>
              <w:rPr>
                <w:rFonts w:hint="default" w:ascii="仿宋_GB2312" w:hAnsi="宋体" w:eastAsia="仿宋_GB2312" w:cs="宋体"/>
                <w:snapToGrid w:val="0"/>
                <w:color w:val="auto"/>
                <w:kern w:val="0"/>
                <w:sz w:val="21"/>
                <w:szCs w:val="21"/>
                <w:lang w:val="en-US" w:eastAsia="zh-CN" w:bidi="ar-SA"/>
              </w:rPr>
              <w:t>集料含水率在线检测误差≤±0.3；</w:t>
            </w:r>
          </w:p>
          <w:p>
            <w:pPr>
              <w:pStyle w:val="2"/>
              <w:ind w:left="0" w:leftChars="0" w:firstLine="0" w:firstLineChars="0"/>
              <w:rPr>
                <w:rFonts w:hint="default"/>
                <w:lang w:val="en-US" w:eastAsia="zh-CN"/>
              </w:rPr>
            </w:pPr>
            <w:r>
              <w:drawing>
                <wp:inline distT="0" distB="0" distL="114300" distR="114300">
                  <wp:extent cx="1474470" cy="1882140"/>
                  <wp:effectExtent l="9525" t="9525" r="14605" b="13335"/>
                  <wp:docPr id="1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pic:cNvPicPr>
                            <a:picLocks noChangeAspect="1"/>
                          </pic:cNvPicPr>
                        </pic:nvPicPr>
                        <pic:blipFill>
                          <a:blip r:embed="rId12" cstate="email">
                            <a:extLst>
                              <a:ext uri="{BEBA8EAE-BF5A-486C-A8C5-ECC9F3942E4B}">
                                <a14:imgProps xmlns:a14="http://schemas.microsoft.com/office/drawing/2010/main">
                                  <a14:imgLayer r:embed="rId13">
                                    <a14:imgEffect>
                                      <a14:brightnessContrast bright="40000" contrast="-40000"/>
                                    </a14:imgEffect>
                                  </a14:imgLayer>
                                </a14:imgProps>
                              </a:ext>
                            </a:extLst>
                          </a:blip>
                          <a:srcRect t="13330" b="13378"/>
                          <a:stretch>
                            <a:fillRect/>
                          </a:stretch>
                        </pic:blipFill>
                        <pic:spPr>
                          <a:xfrm>
                            <a:off x="0" y="0"/>
                            <a:ext cx="1474470" cy="1882140"/>
                          </a:xfrm>
                          <a:prstGeom prst="roundRect">
                            <a:avLst>
                              <a:gd name="adj" fmla="val 5273"/>
                            </a:avLst>
                          </a:prstGeom>
                          <a:solidFill>
                            <a:srgbClr val="FFFFFF">
                              <a:shade val="85000"/>
                            </a:srgbClr>
                          </a:solidFill>
                          <a:ln>
                            <a:solidFill>
                              <a:schemeClr val="tx1"/>
                            </a:solidFill>
                          </a:ln>
                          <a:effectLst/>
                        </pic:spPr>
                      </pic:pic>
                    </a:graphicData>
                  </a:graphic>
                </wp:inline>
              </w:drawing>
            </w:r>
            <w:r>
              <w:drawing>
                <wp:inline distT="0" distB="0" distL="114300" distR="114300">
                  <wp:extent cx="2872105" cy="1849120"/>
                  <wp:effectExtent l="9525" t="9525" r="13970" b="20955"/>
                  <wp:docPr id="16" name="图片 15"/>
                  <wp:cNvGraphicFramePr/>
                  <a:graphic xmlns:a="http://schemas.openxmlformats.org/drawingml/2006/main">
                    <a:graphicData uri="http://schemas.openxmlformats.org/drawingml/2006/picture">
                      <pic:pic xmlns:pic="http://schemas.openxmlformats.org/drawingml/2006/picture">
                        <pic:nvPicPr>
                          <pic:cNvPr id="16" name="图片 15"/>
                          <pic:cNvPicPr/>
                        </pic:nvPicPr>
                        <pic:blipFill>
                          <a:blip r:embed="rId14" cstate="email"/>
                          <a:srcRect/>
                          <a:stretch>
                            <a:fillRect/>
                          </a:stretch>
                        </pic:blipFill>
                        <pic:spPr>
                          <a:xfrm>
                            <a:off x="0" y="0"/>
                            <a:ext cx="2872105" cy="1849120"/>
                          </a:xfrm>
                          <a:prstGeom prst="roundRect">
                            <a:avLst>
                              <a:gd name="adj" fmla="val 5273"/>
                            </a:avLst>
                          </a:prstGeom>
                          <a:solidFill>
                            <a:srgbClr val="FFFFFF">
                              <a:shade val="85000"/>
                            </a:srgbClr>
                          </a:solidFill>
                          <a:ln>
                            <a:solidFill>
                              <a:schemeClr val="tx1"/>
                            </a:solidFill>
                          </a:ln>
                          <a:effectLst/>
                        </pic:spPr>
                      </pic:pic>
                    </a:graphicData>
                  </a:graphic>
                </wp:inline>
              </w:drawing>
            </w:r>
          </w:p>
          <w:p>
            <w:pPr>
              <w:spacing w:line="360" w:lineRule="auto"/>
              <w:jc w:val="both"/>
              <w:rPr>
                <w:rFonts w:hint="eastAsia" w:ascii="仿宋_GB2312" w:hAnsi="宋体" w:eastAsia="仿宋_GB2312" w:cs="宋体"/>
                <w:snapToGrid w:val="0"/>
                <w:color w:val="000000"/>
                <w:kern w:val="0"/>
                <w:szCs w:val="21"/>
              </w:rPr>
            </w:pPr>
            <w:bookmarkStart w:id="0" w:name="_GoBack"/>
            <w:bookmarkEnd w:id="0"/>
          </w:p>
        </w:tc>
      </w:tr>
    </w:tbl>
    <w:p>
      <w:pPr>
        <w:spacing w:line="360" w:lineRule="auto"/>
        <w:jc w:val="both"/>
        <w:rPr>
          <w:rFonts w:hint="eastAsia" w:ascii="仿宋_GB2312" w:hAnsi="宋体" w:eastAsia="仿宋_GB2312" w:cs="宋体"/>
          <w:snapToGrid w:val="0"/>
          <w:color w:val="000000"/>
          <w:kern w:val="0"/>
          <w:szCs w:val="21"/>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仿宋_GB2312">
    <w:panose1 w:val="02010609030101010101"/>
    <w:charset w:val="86"/>
    <w:family w:val="modern"/>
    <w:pitch w:val="default"/>
    <w:sig w:usb0="00000001" w:usb1="080E0000" w:usb2="00000000" w:usb3="00000000" w:csb0="00040000" w:csb1="00000000"/>
  </w:font>
  <w:font w:name="Wingdings 2">
    <w:panose1 w:val="05020102010507070707"/>
    <w:charset w:val="00"/>
    <w:family w:val="auto"/>
    <w:pitch w:val="default"/>
    <w:sig w:usb0="00000000" w:usb1="00000000" w:usb2="00000000" w:usb3="00000000" w:csb0="80000000" w:csb1="00000000"/>
  </w:font>
  <w:font w:name="汉仪书宋二KW">
    <w:panose1 w:val="00020600040101010101"/>
    <w:charset w:val="86"/>
    <w:family w:val="auto"/>
    <w:pitch w:val="default"/>
    <w:sig w:usb0="A00002BF" w:usb1="18EF7CFA" w:usb2="00000016" w:usb3="00000000" w:csb0="00040000" w:csb1="00000000"/>
  </w:font>
  <w:font w:name="PingFang SC">
    <w:panose1 w:val="020B0400000000000000"/>
    <w:charset w:val="86"/>
    <w:family w:val="auto"/>
    <w:pitch w:val="default"/>
    <w:sig w:usb0="A00002FF" w:usb1="7ACFFDFB" w:usb2="00000017" w:usb3="00000000" w:csb0="00040001" w:csb1="00000000"/>
  </w:font>
  <w:font w:name="Tahoma">
    <w:panose1 w:val="020B0604030504040204"/>
    <w:charset w:val="00"/>
    <w:family w:val="auto"/>
    <w:pitch w:val="default"/>
    <w:sig w:usb0="E1002AFF" w:usb1="C000605B" w:usb2="00000029" w:usb3="00000000" w:csb0="200101FF" w:csb1="2028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Helvetica Neue">
    <w:panose1 w:val="02000503000000020004"/>
    <w:charset w:val="00"/>
    <w:family w:val="auto"/>
    <w:pitch w:val="default"/>
    <w:sig w:usb0="E50002FF" w:usb1="500079DB" w:usb2="0000001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563F3FB"/>
    <w:multiLevelType w:val="multilevel"/>
    <w:tmpl w:val="C563F3FB"/>
    <w:lvl w:ilvl="0" w:tentative="0">
      <w:start w:val="1"/>
      <w:numFmt w:val="decimal"/>
      <w:lvlText w:val="%1."/>
      <w:lvlJc w:val="left"/>
      <w:pPr>
        <w:tabs>
          <w:tab w:val="left" w:pos="720"/>
        </w:tabs>
        <w:ind w:left="720" w:hanging="360"/>
      </w:pPr>
      <w:rPr>
        <w:sz w:val="24"/>
        <w:szCs w:val="24"/>
      </w:rPr>
    </w:lvl>
    <w:lvl w:ilvl="1" w:tentative="0">
      <w:start w:val="1"/>
      <w:numFmt w:val="decimal"/>
      <w:lvlText w:val="%2."/>
      <w:lvlJc w:val="left"/>
      <w:pPr>
        <w:tabs>
          <w:tab w:val="left" w:pos="1440"/>
        </w:tabs>
        <w:ind w:left="1440" w:hanging="360"/>
      </w:pPr>
      <w:rPr>
        <w:sz w:val="24"/>
        <w:szCs w:val="24"/>
      </w:rPr>
    </w:lvl>
    <w:lvl w:ilvl="2" w:tentative="0">
      <w:start w:val="1"/>
      <w:numFmt w:val="decimal"/>
      <w:lvlText w:val="%3."/>
      <w:lvlJc w:val="left"/>
      <w:pPr>
        <w:tabs>
          <w:tab w:val="left" w:pos="2160"/>
        </w:tabs>
        <w:ind w:left="2160" w:hanging="360"/>
      </w:pPr>
      <w:rPr>
        <w:sz w:val="24"/>
        <w:szCs w:val="24"/>
      </w:rPr>
    </w:lvl>
    <w:lvl w:ilvl="3" w:tentative="0">
      <w:start w:val="1"/>
      <w:numFmt w:val="decimal"/>
      <w:lvlText w:val="%4."/>
      <w:lvlJc w:val="left"/>
      <w:pPr>
        <w:tabs>
          <w:tab w:val="left" w:pos="2517"/>
        </w:tabs>
        <w:ind w:left="2880" w:hanging="360"/>
      </w:pPr>
      <w:rPr>
        <w:sz w:val="24"/>
        <w:szCs w:val="24"/>
      </w:rPr>
    </w:lvl>
    <w:lvl w:ilvl="4" w:tentative="0">
      <w:start w:val="1"/>
      <w:numFmt w:val="decimal"/>
      <w:lvlText w:val="%5."/>
      <w:lvlJc w:val="left"/>
      <w:pPr>
        <w:tabs>
          <w:tab w:val="left" w:pos="3238"/>
        </w:tabs>
        <w:ind w:left="3600" w:hanging="360"/>
      </w:pPr>
      <w:rPr>
        <w:sz w:val="24"/>
        <w:szCs w:val="24"/>
      </w:rPr>
    </w:lvl>
    <w:lvl w:ilvl="5" w:tentative="0">
      <w:start w:val="1"/>
      <w:numFmt w:val="decimal"/>
      <w:lvlText w:val="%6."/>
      <w:lvlJc w:val="left"/>
      <w:pPr>
        <w:tabs>
          <w:tab w:val="left" w:pos="3958"/>
        </w:tabs>
        <w:ind w:left="4320" w:hanging="360"/>
      </w:pPr>
      <w:rPr>
        <w:sz w:val="24"/>
        <w:szCs w:val="24"/>
      </w:rPr>
    </w:lvl>
    <w:lvl w:ilvl="6" w:tentative="0">
      <w:start w:val="1"/>
      <w:numFmt w:val="decimal"/>
      <w:lvlText w:val="%7."/>
      <w:lvlJc w:val="left"/>
      <w:pPr>
        <w:tabs>
          <w:tab w:val="left" w:pos="4678"/>
        </w:tabs>
        <w:ind w:left="5040" w:hanging="360"/>
      </w:pPr>
      <w:rPr>
        <w:sz w:val="24"/>
        <w:szCs w:val="24"/>
      </w:rPr>
    </w:lvl>
    <w:lvl w:ilvl="7" w:tentative="0">
      <w:start w:val="1"/>
      <w:numFmt w:val="decimal"/>
      <w:lvlText w:val="%8."/>
      <w:lvlJc w:val="left"/>
      <w:pPr>
        <w:tabs>
          <w:tab w:val="left" w:pos="5398"/>
        </w:tabs>
        <w:ind w:left="5760" w:hanging="360"/>
      </w:pPr>
      <w:rPr>
        <w:sz w:val="24"/>
        <w:szCs w:val="24"/>
      </w:rPr>
    </w:lvl>
    <w:lvl w:ilvl="8" w:tentative="0">
      <w:start w:val="1"/>
      <w:numFmt w:val="decimal"/>
      <w:lvlText w:val="%9."/>
      <w:lvlJc w:val="left"/>
      <w:pPr>
        <w:tabs>
          <w:tab w:val="left" w:pos="6118"/>
        </w:tabs>
        <w:ind w:left="6480" w:hanging="360"/>
      </w:pPr>
      <w:rPr>
        <w:sz w:val="24"/>
        <w:szCs w:val="24"/>
      </w:rPr>
    </w:lvl>
  </w:abstractNum>
  <w:abstractNum w:abstractNumId="1">
    <w:nsid w:val="3479202E"/>
    <w:multiLevelType w:val="singleLevel"/>
    <w:tmpl w:val="3479202E"/>
    <w:lvl w:ilvl="0" w:tentative="0">
      <w:start w:val="1"/>
      <w:numFmt w:val="decimal"/>
      <w:lvlText w:val="%1."/>
      <w:lvlJc w:val="left"/>
      <w:pPr>
        <w:ind w:left="425" w:hanging="425"/>
      </w:pPr>
      <w:rPr>
        <w:rFont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M4NWVjMzAzMDQ4ZjRjOWRiMWE4MTEyMjVjMTdkNDAifQ=="/>
    <w:docVar w:name="KSO_WPS_MARK_KEY" w:val="6705bd74-8d9a-4817-a0c4-27b872c54101"/>
  </w:docVars>
  <w:rsids>
    <w:rsidRoot w:val="5EC5849C"/>
    <w:rsid w:val="0BFC4793"/>
    <w:rsid w:val="0DEAB020"/>
    <w:rsid w:val="0FA85C0C"/>
    <w:rsid w:val="0FDFF58D"/>
    <w:rsid w:val="19FD90B4"/>
    <w:rsid w:val="1BEF7C95"/>
    <w:rsid w:val="1C800074"/>
    <w:rsid w:val="1D223F7A"/>
    <w:rsid w:val="1D8F49B9"/>
    <w:rsid w:val="1EE1C420"/>
    <w:rsid w:val="218C216E"/>
    <w:rsid w:val="238115CF"/>
    <w:rsid w:val="23D76DCE"/>
    <w:rsid w:val="255E084C"/>
    <w:rsid w:val="27FEAB5C"/>
    <w:rsid w:val="2A1BFCBE"/>
    <w:rsid w:val="2B0E5ED5"/>
    <w:rsid w:val="2B5FE633"/>
    <w:rsid w:val="2BEFDBA1"/>
    <w:rsid w:val="2F7B1FBA"/>
    <w:rsid w:val="33F33D11"/>
    <w:rsid w:val="36DC10F4"/>
    <w:rsid w:val="37BBD2BF"/>
    <w:rsid w:val="37FFAB54"/>
    <w:rsid w:val="390F1A43"/>
    <w:rsid w:val="39D70EAF"/>
    <w:rsid w:val="3AAE9D6C"/>
    <w:rsid w:val="3B6DFE67"/>
    <w:rsid w:val="3BCE1E21"/>
    <w:rsid w:val="3DF7581E"/>
    <w:rsid w:val="3E5D4294"/>
    <w:rsid w:val="3EE4CE4D"/>
    <w:rsid w:val="3EEBB9C5"/>
    <w:rsid w:val="3EF7194D"/>
    <w:rsid w:val="3EFF1C42"/>
    <w:rsid w:val="3FBFE549"/>
    <w:rsid w:val="3FD75BCD"/>
    <w:rsid w:val="3FE7AD24"/>
    <w:rsid w:val="3FFE98E2"/>
    <w:rsid w:val="3FFF1896"/>
    <w:rsid w:val="3FFF590C"/>
    <w:rsid w:val="41FBA6CE"/>
    <w:rsid w:val="437EB5A4"/>
    <w:rsid w:val="44E51E7B"/>
    <w:rsid w:val="53FC451B"/>
    <w:rsid w:val="56ABB321"/>
    <w:rsid w:val="579DB03C"/>
    <w:rsid w:val="5CFB88A6"/>
    <w:rsid w:val="5D0B1560"/>
    <w:rsid w:val="5D18F755"/>
    <w:rsid w:val="5D7D74BD"/>
    <w:rsid w:val="5DF3F0D8"/>
    <w:rsid w:val="5EB697D9"/>
    <w:rsid w:val="5EC5849C"/>
    <w:rsid w:val="5F2A02A6"/>
    <w:rsid w:val="5F67D93C"/>
    <w:rsid w:val="5F77E666"/>
    <w:rsid w:val="5FB77223"/>
    <w:rsid w:val="5FFCC4C1"/>
    <w:rsid w:val="5FFD0080"/>
    <w:rsid w:val="5FFF740A"/>
    <w:rsid w:val="603A03CC"/>
    <w:rsid w:val="61776D5A"/>
    <w:rsid w:val="628144D2"/>
    <w:rsid w:val="651932EC"/>
    <w:rsid w:val="6BFFD4C3"/>
    <w:rsid w:val="6E3E3E63"/>
    <w:rsid w:val="6F2C0081"/>
    <w:rsid w:val="6F6968F7"/>
    <w:rsid w:val="6FB19D06"/>
    <w:rsid w:val="70E909E4"/>
    <w:rsid w:val="71F15DA2"/>
    <w:rsid w:val="72B312A9"/>
    <w:rsid w:val="745DADF4"/>
    <w:rsid w:val="757B6DCB"/>
    <w:rsid w:val="76DE00A4"/>
    <w:rsid w:val="77BF5F25"/>
    <w:rsid w:val="77DE858B"/>
    <w:rsid w:val="77FDB90A"/>
    <w:rsid w:val="78F6EE31"/>
    <w:rsid w:val="79F26CC1"/>
    <w:rsid w:val="7B5F82FC"/>
    <w:rsid w:val="7B7D4C48"/>
    <w:rsid w:val="7BBF12D5"/>
    <w:rsid w:val="7BF1893D"/>
    <w:rsid w:val="7CED5A92"/>
    <w:rsid w:val="7D5FF262"/>
    <w:rsid w:val="7DBB29E5"/>
    <w:rsid w:val="7DD2D919"/>
    <w:rsid w:val="7DD72D08"/>
    <w:rsid w:val="7DFBEE85"/>
    <w:rsid w:val="7DFD4F93"/>
    <w:rsid w:val="7E9F5AF7"/>
    <w:rsid w:val="7EDAB7B9"/>
    <w:rsid w:val="7EFA0ECF"/>
    <w:rsid w:val="7EFB12CD"/>
    <w:rsid w:val="7EFFF234"/>
    <w:rsid w:val="7F6983F4"/>
    <w:rsid w:val="7F758238"/>
    <w:rsid w:val="7F7FB46F"/>
    <w:rsid w:val="7FAFF185"/>
    <w:rsid w:val="7FDE7CAA"/>
    <w:rsid w:val="7FDFE45B"/>
    <w:rsid w:val="7FFD3FB3"/>
    <w:rsid w:val="7FFF5225"/>
    <w:rsid w:val="8E7C5508"/>
    <w:rsid w:val="91D7BF3A"/>
    <w:rsid w:val="9B7D22A9"/>
    <w:rsid w:val="9D9FAA35"/>
    <w:rsid w:val="9DEF0528"/>
    <w:rsid w:val="9E3B2651"/>
    <w:rsid w:val="9FEF0717"/>
    <w:rsid w:val="ABF72F69"/>
    <w:rsid w:val="AD0A99E9"/>
    <w:rsid w:val="AED601B3"/>
    <w:rsid w:val="B379CEEB"/>
    <w:rsid w:val="B3E535CE"/>
    <w:rsid w:val="B5DFDF4E"/>
    <w:rsid w:val="B60F4A5B"/>
    <w:rsid w:val="B66A637D"/>
    <w:rsid w:val="B77EEB8D"/>
    <w:rsid w:val="B7D56DEF"/>
    <w:rsid w:val="B9376027"/>
    <w:rsid w:val="BBDFC52F"/>
    <w:rsid w:val="BCFF8A68"/>
    <w:rsid w:val="BD6A1ED2"/>
    <w:rsid w:val="BDA74E03"/>
    <w:rsid w:val="BDDF4E0A"/>
    <w:rsid w:val="BDF900BE"/>
    <w:rsid w:val="BFF7A160"/>
    <w:rsid w:val="BFFF4F85"/>
    <w:rsid w:val="CABE0AFD"/>
    <w:rsid w:val="CFF72F26"/>
    <w:rsid w:val="CFFEE44E"/>
    <w:rsid w:val="D5F2F14B"/>
    <w:rsid w:val="D66A08E0"/>
    <w:rsid w:val="D7757E92"/>
    <w:rsid w:val="D77736DF"/>
    <w:rsid w:val="DBFFFA7B"/>
    <w:rsid w:val="DCB388AC"/>
    <w:rsid w:val="DDCC39AE"/>
    <w:rsid w:val="DDE99456"/>
    <w:rsid w:val="DEF71827"/>
    <w:rsid w:val="DF5F4FE3"/>
    <w:rsid w:val="DF6FD821"/>
    <w:rsid w:val="DF99571F"/>
    <w:rsid w:val="E2EBE074"/>
    <w:rsid w:val="E52DF817"/>
    <w:rsid w:val="E7E7828B"/>
    <w:rsid w:val="E7FE5F6F"/>
    <w:rsid w:val="EBB6CE65"/>
    <w:rsid w:val="EBE70D63"/>
    <w:rsid w:val="EBF4FBCB"/>
    <w:rsid w:val="ECBF9F04"/>
    <w:rsid w:val="ED9E8B4E"/>
    <w:rsid w:val="EDB9F221"/>
    <w:rsid w:val="EEBC1DF0"/>
    <w:rsid w:val="EEFF1522"/>
    <w:rsid w:val="EFDD22B5"/>
    <w:rsid w:val="EFE5A90D"/>
    <w:rsid w:val="EFEFF467"/>
    <w:rsid w:val="EFFD3FF8"/>
    <w:rsid w:val="EFFD7F39"/>
    <w:rsid w:val="F0CED9CC"/>
    <w:rsid w:val="F55B6570"/>
    <w:rsid w:val="F6FD9728"/>
    <w:rsid w:val="F77CA136"/>
    <w:rsid w:val="F7FE6584"/>
    <w:rsid w:val="F7FF7E15"/>
    <w:rsid w:val="F83D2CAB"/>
    <w:rsid w:val="F870936C"/>
    <w:rsid w:val="FA7FB993"/>
    <w:rsid w:val="FAD25067"/>
    <w:rsid w:val="FAFF446A"/>
    <w:rsid w:val="FB1EAC5F"/>
    <w:rsid w:val="FB621106"/>
    <w:rsid w:val="FCA2BC36"/>
    <w:rsid w:val="FCD4FA7F"/>
    <w:rsid w:val="FD6FFDE1"/>
    <w:rsid w:val="FDBEF56D"/>
    <w:rsid w:val="FDF7C7E2"/>
    <w:rsid w:val="FDF7D425"/>
    <w:rsid w:val="FEDD74BF"/>
    <w:rsid w:val="FEFFC0FC"/>
    <w:rsid w:val="FF310DDB"/>
    <w:rsid w:val="FF5FE73A"/>
    <w:rsid w:val="FF7D4A8A"/>
    <w:rsid w:val="FF7E1492"/>
    <w:rsid w:val="FFB7B202"/>
    <w:rsid w:val="FFBE7C3A"/>
    <w:rsid w:val="FFBF161C"/>
    <w:rsid w:val="FFBF93ED"/>
    <w:rsid w:val="FFD30993"/>
    <w:rsid w:val="FFDA7BA9"/>
    <w:rsid w:val="FFE7F667"/>
    <w:rsid w:val="FFEB7678"/>
    <w:rsid w:val="FFF7306A"/>
    <w:rsid w:val="FFFBBB54"/>
    <w:rsid w:val="FFFD1FEC"/>
    <w:rsid w:val="FFFD8C02"/>
    <w:rsid w:val="FFFEE1B6"/>
    <w:rsid w:val="FFFF71BF"/>
    <w:rsid w:val="FFFFD97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3"/>
    <w:basedOn w:val="1"/>
    <w:next w:val="1"/>
    <w:unhideWhenUsed/>
    <w:qFormat/>
    <w:uiPriority w:val="0"/>
    <w:pPr>
      <w:keepNext/>
      <w:keepLines/>
      <w:spacing w:before="260" w:after="260" w:line="416" w:lineRule="auto"/>
      <w:outlineLvl w:val="2"/>
    </w:pPr>
    <w:rPr>
      <w:b/>
      <w:bCs/>
      <w:sz w:val="32"/>
      <w:szCs w:val="32"/>
    </w:rPr>
  </w:style>
  <w:style w:type="character" w:default="1" w:styleId="7">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Balloon Text"/>
    <w:basedOn w:val="1"/>
    <w:next w:val="3"/>
    <w:qFormat/>
    <w:uiPriority w:val="0"/>
    <w:pPr>
      <w:ind w:firstLine="600"/>
    </w:pPr>
    <w:rPr>
      <w:szCs w:val="30"/>
    </w:rPr>
  </w:style>
  <w:style w:type="paragraph" w:styleId="3">
    <w:name w:val="endnote text"/>
    <w:basedOn w:val="1"/>
    <w:qFormat/>
    <w:uiPriority w:val="0"/>
    <w:pPr>
      <w:snapToGrid w:val="0"/>
    </w:pPr>
    <w:rPr>
      <w:sz w:val="21"/>
    </w:rPr>
  </w:style>
  <w:style w:type="paragraph" w:styleId="5">
    <w:name w:val="Normal (Web)"/>
    <w:basedOn w:val="1"/>
    <w:qFormat/>
    <w:uiPriority w:val="0"/>
    <w:pPr>
      <w:spacing w:before="0" w:beforeAutospacing="1" w:after="0" w:afterAutospacing="1"/>
      <w:ind w:left="0" w:right="0"/>
      <w:jc w:val="left"/>
    </w:pPr>
    <w:rPr>
      <w:kern w:val="0"/>
      <w:sz w:val="24"/>
      <w:lang w:val="en-US" w:eastAsia="zh-CN" w:bidi="ar"/>
    </w:rPr>
  </w:style>
  <w:style w:type="character" w:styleId="8">
    <w:name w:val="Strong"/>
    <w:basedOn w:val="7"/>
    <w:qFormat/>
    <w:uiPriority w:val="0"/>
    <w:rPr>
      <w:b/>
    </w:rPr>
  </w:style>
  <w:style w:type="character" w:styleId="9">
    <w:name w:val="Emphasis"/>
    <w:basedOn w:val="7"/>
    <w:qFormat/>
    <w:uiPriority w:val="0"/>
    <w:rPr>
      <w:i/>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microsoft.com/office/2007/relationships/hdphoto" Target="media/image10.wdp"/><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3011</Words>
  <Characters>3140</Characters>
  <Lines>0</Lines>
  <Paragraphs>0</Paragraphs>
  <TotalTime>1</TotalTime>
  <ScaleCrop>false</ScaleCrop>
  <LinksUpToDate>false</LinksUpToDate>
  <CharactersWithSpaces>3318</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2021-03-05T09:29:00Z</dcterms:created>
  <dc:creator>huyc</dc:creator>
  <cp:lastModifiedBy>迎春</cp:lastModifiedBy>
  <dcterms:modified xsi:type="dcterms:W3CDTF">2024-03-11T10:38:04Z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7A25763DEF1949DEA88A04E7B56F6D99_13</vt:lpwstr>
  </property>
</Properties>
</file>