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/>
        </w:rPr>
        <w:t>福建省属</w:t>
      </w:r>
      <w:r>
        <w:t>企业技术创新需求征集表</w:t>
      </w:r>
    </w:p>
    <w:tbl>
      <w:tblPr>
        <w:tblStyle w:val="6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221"/>
        <w:gridCol w:w="1246"/>
        <w:gridCol w:w="2832"/>
      </w:tblGrid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所属集团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福建省招标采购集团有限公司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福建工大岩土工程研究所有限公司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张杰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技术质量部负责人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22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FangSong_GB2312" w:cs="Times New Roman"/>
                <w:snapToGrid w:val="0"/>
                <w:color w:val="000000"/>
                <w:kern w:val="0"/>
                <w:szCs w:val="21"/>
              </w:rPr>
              <w:t>18860104575</w:t>
            </w:r>
          </w:p>
        </w:tc>
        <w:tc>
          <w:tcPr>
            <w:tcW w:w="124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Cs w:val="21"/>
              </w:rPr>
              <w:t>ralph13@163.com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需求标题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FangSong_GB2312" w:hAnsi="宋体" w:eastAsia="FangSong_GB2312" w:cs="宋体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auto"/>
                <w:kern w:val="0"/>
                <w:szCs w:val="21"/>
              </w:rPr>
              <w:t>市政建筑智能检测管理系统建设，寻求可实现实验室智能化管理和系统搭建的技术平台。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FangSong_GB2312" w:hAnsi="宋体" w:eastAsia="FangSong_GB2312" w:cs="宋体"/>
                <w:snapToGrid w:val="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auto"/>
                <w:kern w:val="0"/>
                <w:szCs w:val="21"/>
              </w:rPr>
              <w:t>智慧园区数智管理平台，寻求可统一对园区内各人员、配套设施、业务数据、工作流程等进行数字化智能化管理的先进技术平台，并通过创新性节能减排手段、园区基础设施精准维养，助力园区招商引资和落实国家双碳战略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新一代信息技术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新材料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高端装备制造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化学化工</w:t>
            </w:r>
          </w:p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新能源与节能环保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航空航天技术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现代海洋  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生物医药</w:t>
            </w:r>
          </w:p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交通规划与运输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☑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电子信息  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需求类型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☑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专利购买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□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技术难题解决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☑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新技术开发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□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投资融资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技术储备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□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专业人才需求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需求缘由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☑ 新产品开发        □ 产品升级换代       </w:t>
            </w:r>
            <w:bookmarkStart w:id="0" w:name="_GoBack"/>
            <w:bookmarkEnd w:id="0"/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生产线技术改造 </w:t>
            </w:r>
          </w:p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□ 制造工艺改进      □ 制造装备改进     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合作方式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□ 股权投资 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☑ 技术转让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□ 许可使用 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☑ 合作开发 </w:t>
            </w:r>
          </w:p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合作兴办新企业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 其他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__________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拟投入金额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200万元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需求描述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numPr>
                <w:ilvl w:val="0"/>
                <w:numId w:val="2"/>
              </w:numPr>
              <w:spacing w:line="360" w:lineRule="auto"/>
              <w:ind w:firstLine="420" w:firstLineChars="200"/>
              <w:rPr>
                <w:rFonts w:hint="eastAsia" w:ascii="FangSong_GB2312" w:hAnsi="宋体" w:eastAsia="FangSong_GB2312" w:cs="宋体"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</w:rPr>
              <w:t>市政建筑智能检测管理系统</w:t>
            </w: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  <w:lang w:eastAsia="zh-CN"/>
              </w:rPr>
              <w:t>可对业务管理提供系统化帮助</w:t>
            </w: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</w:rPr>
              <w:t>，并对实验室场地、设备进行智能控制，实现数据通信，对实验室管理和</w:t>
            </w: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  <w:lang w:eastAsia="zh-CN"/>
              </w:rPr>
              <w:t>日常</w:t>
            </w: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</w:rPr>
              <w:t>使用过程中产生的业务数据</w:t>
            </w: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  <w:lang w:eastAsia="zh-CN"/>
              </w:rPr>
              <w:t>等</w:t>
            </w: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</w:rPr>
              <w:t>进行分析。全面建成后的市</w:t>
            </w:r>
            <w:r>
              <w:rPr>
                <w:rFonts w:hint="eastAsia" w:ascii="FangSong_GB2312" w:hAnsi="宋体" w:eastAsia="FangSong_GB2312" w:cs="宋体"/>
                <w:snapToGrid w:val="0"/>
                <w:color w:val="auto"/>
                <w:kern w:val="0"/>
                <w:szCs w:val="21"/>
              </w:rPr>
              <w:t>政建筑智能检测管理系统将达到信息化、智能化，实现软件与硬件平台的完美结合，多系统集成一体、方便操作和管理。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auto"/>
                <w:kern w:val="0"/>
                <w:szCs w:val="21"/>
              </w:rPr>
              <w:t>智慧园区数智管理平台通过对园区内各人员、配套设施、业务数据、工作流程等园区管理要素进行归一化、数字化、智能化管理，构建“数字孪生模型”，从而形成园区的数据资产，用以支撑园区内各领域、多场景的综合化应用，为园区和入驻园区的各企业、个人提供数据分析与应用服务。并根据园区内基础设施的监测情况，主动预测并安排园区内建筑、地下管网等设施所需的维养工作，确保各设施始终运行于安全、高效的区间。同时通过园区能耗监测、节能大数据分析、物联网智能管控，提升园区的能耗效率，并引入碳普惠、招商引资服务一站通等应用，在园区内构建一整套倡导节能减排的绿色低碳全过程服务平台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企业简介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420" w:firstLineChars="200"/>
              <w:rPr>
                <w:rFonts w:ascii="FangSong_GB2312" w:hAnsi="宋体" w:eastAsia="FangSong_GB2312" w:cs="宋体"/>
                <w:snapToGrid w:val="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</w:rPr>
              <w:t>福建工大岩土工程研究所有限公司（简称工大岩土）始于1996年11月，现为福建省招标采购集团权属企业，是福建省内较早取得CMA计量认证资质企业之一。公司注册资金8500万元，拥有试验室面积约5000平米，国内外先进仪器设备近1000余台。现有职工共170余人，国家注册土木工程师、中高级技术职称人数占比40%，员工持证上岗率100%。</w:t>
            </w:r>
          </w:p>
          <w:p>
            <w:pPr>
              <w:spacing w:line="360" w:lineRule="auto"/>
              <w:ind w:firstLine="420" w:firstLineChars="200"/>
              <w:rPr>
                <w:rFonts w:ascii="FangSong_GB2312" w:hAnsi="宋体" w:eastAsia="FangSong_GB2312" w:cs="宋体"/>
                <w:snapToGrid w:val="0"/>
                <w:color w:val="FF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kern w:val="0"/>
                <w:szCs w:val="21"/>
              </w:rPr>
              <w:t>工大岩土立足于城乡基建质量安全体检，拓展‘检-设-养’一体化微创处治，智慧赋能转型升级为战略目标，主要涉及房建市政检测、地质勘察技术服务等业务。公司成立近二十年来，工程检测项目累计达数万个。此外，公司分别在宁德市、莆田市、三明市、南平市、龙岩市、泉州市、平潭综合实验区、漳州设有分支机构，经过二十多年的发展，为我省建筑工程、市政工程提供优质服务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企业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上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年度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销售额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1000万以下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1000万-5000万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☑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5000万-1亿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□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1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亿-2亿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2亿以上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  <w:t>补充材料</w:t>
            </w:r>
          </w:p>
        </w:tc>
        <w:tc>
          <w:tcPr>
            <w:tcW w:w="729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FangSong_GB2312" w:hAnsi="宋体" w:eastAsia="FangSong_GB2312" w:cs="宋体"/>
                <w:snapToGrid w:val="0"/>
                <w:color w:val="000000"/>
                <w:kern w:val="0"/>
                <w:szCs w:val="21"/>
              </w:rPr>
            </w:pPr>
          </w:p>
          <w:p>
            <w:pPr>
              <w:pStyle w:val="2"/>
            </w:pPr>
          </w:p>
        </w:tc>
      </w:tr>
    </w:tbl>
    <w:p>
      <w:pPr>
        <w:spacing w:line="360" w:lineRule="auto"/>
        <w:rPr>
          <w:rFonts w:ascii="FangSong_GB2312" w:hAnsi="宋体" w:eastAsia="FangSong_GB2312" w:cs="宋体"/>
          <w:snapToGrid w:val="0"/>
          <w:color w:val="000000"/>
          <w:kern w:val="0"/>
          <w:szCs w:val="21"/>
        </w:rPr>
      </w:pPr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3D4A10"/>
    <w:multiLevelType w:val="singleLevel"/>
    <w:tmpl w:val="8C3D4A1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59AB273"/>
    <w:multiLevelType w:val="singleLevel"/>
    <w:tmpl w:val="D59AB27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iNGI3MzE3NWJmYzdhYTM4MGVhMTEyYWZmZWQ5YzAifQ=="/>
  </w:docVars>
  <w:rsids>
    <w:rsidRoot w:val="5EC5849C"/>
    <w:rsid w:val="00042468"/>
    <w:rsid w:val="000E6385"/>
    <w:rsid w:val="00127D01"/>
    <w:rsid w:val="0033779E"/>
    <w:rsid w:val="009238C1"/>
    <w:rsid w:val="0099152C"/>
    <w:rsid w:val="009C4C60"/>
    <w:rsid w:val="00A451A4"/>
    <w:rsid w:val="00D40B0F"/>
    <w:rsid w:val="060141CC"/>
    <w:rsid w:val="080B4BAB"/>
    <w:rsid w:val="0DEAB020"/>
    <w:rsid w:val="0ED37FB5"/>
    <w:rsid w:val="0FDFF58D"/>
    <w:rsid w:val="12A046C1"/>
    <w:rsid w:val="13D431B9"/>
    <w:rsid w:val="19E27BFB"/>
    <w:rsid w:val="19FD90B4"/>
    <w:rsid w:val="1BEF7C95"/>
    <w:rsid w:val="1D8F49B9"/>
    <w:rsid w:val="1E705D9D"/>
    <w:rsid w:val="1EE1C420"/>
    <w:rsid w:val="20ED6632"/>
    <w:rsid w:val="23D76DCE"/>
    <w:rsid w:val="25FF029B"/>
    <w:rsid w:val="27FEAB5C"/>
    <w:rsid w:val="2A1BFCBE"/>
    <w:rsid w:val="2B0E5ED5"/>
    <w:rsid w:val="2B5FE633"/>
    <w:rsid w:val="2BEFDBA1"/>
    <w:rsid w:val="2D855902"/>
    <w:rsid w:val="2F7B1FBA"/>
    <w:rsid w:val="30D41EAC"/>
    <w:rsid w:val="327E1477"/>
    <w:rsid w:val="32AF2640"/>
    <w:rsid w:val="33F33D11"/>
    <w:rsid w:val="36DC10F4"/>
    <w:rsid w:val="374C62C8"/>
    <w:rsid w:val="37BBD2BF"/>
    <w:rsid w:val="37FFAB54"/>
    <w:rsid w:val="390F1A43"/>
    <w:rsid w:val="39D70EAF"/>
    <w:rsid w:val="3A0353CD"/>
    <w:rsid w:val="3AAE9D6C"/>
    <w:rsid w:val="3B6DFE67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10E2AFB"/>
    <w:rsid w:val="41FBA6CE"/>
    <w:rsid w:val="428957AD"/>
    <w:rsid w:val="437EB5A4"/>
    <w:rsid w:val="44E51E7B"/>
    <w:rsid w:val="45DF7907"/>
    <w:rsid w:val="4E665573"/>
    <w:rsid w:val="53FC451B"/>
    <w:rsid w:val="563C147E"/>
    <w:rsid w:val="56ABB321"/>
    <w:rsid w:val="56BA46BB"/>
    <w:rsid w:val="57517B92"/>
    <w:rsid w:val="579DB03C"/>
    <w:rsid w:val="5CA130D4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FCC4C1"/>
    <w:rsid w:val="5FFD0080"/>
    <w:rsid w:val="5FFF740A"/>
    <w:rsid w:val="61776D5A"/>
    <w:rsid w:val="62BD7740"/>
    <w:rsid w:val="6BFFD4C3"/>
    <w:rsid w:val="6E3E3E63"/>
    <w:rsid w:val="6F2C0081"/>
    <w:rsid w:val="6F6968F7"/>
    <w:rsid w:val="6FB19D06"/>
    <w:rsid w:val="72FA2077"/>
    <w:rsid w:val="745DADF4"/>
    <w:rsid w:val="757B6DCB"/>
    <w:rsid w:val="76DE00A4"/>
    <w:rsid w:val="77BF5F25"/>
    <w:rsid w:val="77DE858B"/>
    <w:rsid w:val="77FDB90A"/>
    <w:rsid w:val="78F6EE31"/>
    <w:rsid w:val="79F26CC1"/>
    <w:rsid w:val="7A794B87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Emphasis"/>
    <w:basedOn w:val="7"/>
    <w:qFormat/>
    <w:uiPriority w:val="0"/>
    <w:rPr>
      <w:i/>
    </w:rPr>
  </w:style>
  <w:style w:type="character" w:customStyle="1" w:styleId="9">
    <w:name w:val="Header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0">
    <w:name w:val="Footer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226</Words>
  <Characters>1292</Characters>
  <Lines>10</Lines>
  <Paragraphs>3</Paragraphs>
  <TotalTime>50</TotalTime>
  <ScaleCrop>false</ScaleCrop>
  <LinksUpToDate>false</LinksUpToDate>
  <CharactersWithSpaces>1515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2024-03-05T06:32:00Z</dcterms:created>
  <dc:creator>huyc</dc:creator>
  <cp:lastModifiedBy>摘星计划</cp:lastModifiedBy>
  <cp:lastPrinted>2024-03-06T06:40:05Z</cp:lastPrinted>
  <dcterms:modified xsi:type="dcterms:W3CDTF">2024-03-06T06:40:11Z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FBAAF81AE59440CABCC219E57CFD75F2_13</vt:lpwstr>
  </property>
</Properties>
</file>