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福建省属</w:t>
      </w:r>
      <w:r>
        <w:t>企业技术创新需求征集表</w:t>
      </w:r>
    </w:p>
    <w:tbl>
      <w:tblPr>
        <w:tblStyle w:val="5"/>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所属集团</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福建省大数据集团有限公司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福建省星云大数据应用服务有限公司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陈明福</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运营合作部副部长</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15980277480</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chenmf@nebulabd.cn</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themeColor="text1"/>
                <w:kern w:val="0"/>
                <w:szCs w:val="21"/>
                <w14:textFill>
                  <w14:solidFill>
                    <w14:schemeClr w14:val="tx1"/>
                  </w14:solidFill>
                </w14:textFill>
              </w:rPr>
            </w:pPr>
            <w:r>
              <w:rPr>
                <w:rFonts w:ascii="仿宋_GB2312" w:hAnsi="宋体" w:eastAsia="仿宋_GB2312" w:cs="宋体"/>
                <w:snapToGrid w:val="0"/>
                <w:color w:val="000000" w:themeColor="text1"/>
                <w:kern w:val="0"/>
                <w:szCs w:val="21"/>
                <w14:textFill>
                  <w14:solidFill>
                    <w14:schemeClr w14:val="tx1"/>
                  </w14:solidFill>
                </w14:textFill>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ind w:firstLine="105" w:firstLineChars="50"/>
              <w:rPr>
                <w:rFonts w:ascii="仿宋_GB2312" w:hAnsi="宋体" w:eastAsia="仿宋_GB2312" w:cs="宋体"/>
                <w:snapToGrid w:val="0"/>
                <w:color w:val="000000" w:themeColor="text1"/>
                <w:kern w:val="0"/>
                <w:szCs w:val="21"/>
                <w14:textFill>
                  <w14:solidFill>
                    <w14:schemeClr w14:val="tx1"/>
                  </w14:solidFill>
                </w14:textFill>
              </w:rPr>
            </w:pPr>
            <w:r>
              <w:rPr>
                <w:rFonts w:hint="eastAsia" w:ascii="仿宋_GB2312" w:hAnsi="宋体" w:eastAsia="仿宋_GB2312" w:cs="宋体"/>
                <w:snapToGrid w:val="0"/>
                <w:color w:val="000000" w:themeColor="text1"/>
                <w:kern w:val="0"/>
                <w:szCs w:val="21"/>
                <w14:textFill>
                  <w14:solidFill>
                    <w14:schemeClr w14:val="tx1"/>
                  </w14:solidFill>
                </w14:textFill>
              </w:rPr>
              <w:t>人工智能技术，寻求智能问诊解决方案</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新一代信息技术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新材料</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高端装备制造</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新能源与节能环保</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生物医药</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新产品开发        ☑ 产品升级换代       □ 生产线技术改造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制造工艺改进      □ 制造装备改进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技术转让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 许可使用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 合作开发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FF0000"/>
                <w:kern w:val="0"/>
                <w:szCs w:val="21"/>
              </w:rPr>
              <w:t>解决技术需求的拟投入金额</w:t>
            </w:r>
            <w:r>
              <w:rPr>
                <w:rFonts w:hint="eastAsia" w:ascii="仿宋_GB2312" w:hAnsi="宋体" w:eastAsia="仿宋_GB2312" w:cs="宋体"/>
                <w:snapToGrid w:val="0"/>
                <w:color w:val="FF0000"/>
                <w:kern w:val="0"/>
                <w:szCs w:val="21"/>
                <w:lang w:eastAsia="zh-CN"/>
              </w:rPr>
              <w:t>：</w:t>
            </w:r>
            <w:r>
              <w:rPr>
                <w:rFonts w:ascii="仿宋_GB2312" w:hAnsi="宋体" w:eastAsia="仿宋_GB2312" w:cs="宋体"/>
                <w:snapToGrid w:val="0"/>
                <w:color w:val="FF0000"/>
                <w:kern w:val="0"/>
                <w:szCs w:val="21"/>
              </w:rPr>
              <w:t xml:space="preserve"> </w:t>
            </w:r>
            <w:r>
              <w:rPr>
                <w:rFonts w:hint="eastAsia" w:ascii="仿宋_GB2312" w:hAnsi="宋体" w:eastAsia="仿宋_GB2312" w:cs="宋体"/>
                <w:snapToGrid w:val="0"/>
                <w:color w:val="000000" w:themeColor="text1"/>
                <w:kern w:val="0"/>
                <w:szCs w:val="21"/>
                <w:lang w:val="en-US" w:eastAsia="zh-CN"/>
                <w14:textFill>
                  <w14:solidFill>
                    <w14:schemeClr w14:val="tx1"/>
                  </w14:solidFill>
                </w14:textFill>
              </w:rPr>
              <w:t>金额待定</w:t>
            </w:r>
            <w:r>
              <w:rPr>
                <w:rFonts w:ascii="仿宋_GB2312" w:hAnsi="宋体" w:eastAsia="仿宋_GB2312" w:cs="宋体"/>
                <w:snapToGrid w:val="0"/>
                <w:color w:val="000000"/>
                <w:kern w:val="0"/>
                <w:szCs w:val="21"/>
              </w:rPr>
              <w:t xml:space="preserve">（单位万元）  </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01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tcPr>
          <w:p>
            <w:pPr>
              <w:spacing w:line="360" w:lineRule="auto"/>
              <w:rPr>
                <w:rFonts w:ascii="仿宋_GB2312" w:hAnsi="宋体" w:eastAsia="仿宋_GB2312" w:cs="宋体"/>
                <w:snapToGrid w:val="0"/>
                <w:color w:val="FF0000"/>
                <w:kern w:val="0"/>
                <w:szCs w:val="21"/>
              </w:rPr>
            </w:pPr>
            <w:r>
              <w:rPr>
                <w:rFonts w:hint="eastAsia" w:ascii="仿宋_GB2312" w:hAnsi="宋体" w:eastAsia="仿宋_GB2312" w:cs="宋体"/>
                <w:snapToGrid w:val="0"/>
                <w:color w:val="FF0000"/>
                <w:kern w:val="0"/>
                <w:szCs w:val="21"/>
              </w:rPr>
              <w:t>精准描述所要解决的技术问题、</w:t>
            </w:r>
            <w:r>
              <w:rPr>
                <w:rFonts w:ascii="仿宋_GB2312" w:hAnsi="宋体" w:eastAsia="仿宋_GB2312" w:cs="宋体"/>
                <w:snapToGrid w:val="0"/>
                <w:color w:val="FF0000"/>
                <w:kern w:val="0"/>
                <w:szCs w:val="21"/>
              </w:rPr>
              <w:t>技术需求要点、</w:t>
            </w:r>
            <w:r>
              <w:rPr>
                <w:rFonts w:hint="eastAsia" w:ascii="仿宋_GB2312" w:hAnsi="宋体" w:eastAsia="仿宋_GB2312" w:cs="宋体"/>
                <w:snapToGrid w:val="0"/>
                <w:color w:val="FF0000"/>
                <w:kern w:val="0"/>
                <w:szCs w:val="21"/>
              </w:rPr>
              <w:t>预期达到的效果（技术指标、规格等）</w:t>
            </w:r>
          </w:p>
          <w:p>
            <w:pPr>
              <w:spacing w:line="360" w:lineRule="auto"/>
              <w:ind w:firstLine="420" w:firstLineChars="200"/>
              <w:rPr>
                <w:rFonts w:ascii="仿宋_GB2312" w:hAnsi="宋体" w:eastAsia="仿宋_GB2312" w:cs="宋体"/>
                <w:snapToGrid w:val="0"/>
                <w:color w:val="FF0000"/>
                <w:kern w:val="0"/>
                <w:szCs w:val="21"/>
              </w:rPr>
            </w:pPr>
            <w:r>
              <w:rPr>
                <w:rFonts w:hint="eastAsia" w:ascii="仿宋_GB2312" w:hAnsi="宋体" w:eastAsia="仿宋_GB2312" w:cs="宋体"/>
                <w:snapToGrid w:val="0"/>
                <w:color w:val="000000" w:themeColor="text1"/>
                <w:kern w:val="0"/>
                <w:szCs w:val="21"/>
                <w14:textFill>
                  <w14:solidFill>
                    <w14:schemeClr w14:val="tx1"/>
                  </w14:solidFill>
                </w14:textFill>
              </w:rPr>
              <w:t>利用知识图谱、深度学习等前沿技术解决智能问诊问题，智能问诊要求能够模拟人类医生的判断思维和判断能力大致功能包括：病症咨询、疾病诊断和治疗建议，要求判断的准确率达到90%。</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26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tcPr>
          <w:p>
            <w:pPr>
              <w:spacing w:line="360" w:lineRule="auto"/>
              <w:rPr>
                <w:rFonts w:hint="eastAsia" w:ascii="仿宋_GB2312" w:hAnsi="宋体" w:eastAsia="仿宋_GB2312" w:cs="宋体"/>
                <w:snapToGrid w:val="0"/>
                <w:color w:val="000000" w:themeColor="text1"/>
                <w:kern w:val="0"/>
                <w:szCs w:val="21"/>
                <w14:textFill>
                  <w14:solidFill>
                    <w14:schemeClr w14:val="tx1"/>
                  </w14:solidFill>
                </w14:textFill>
              </w:rPr>
            </w:pPr>
            <w:r>
              <w:rPr>
                <w:rFonts w:hint="eastAsia" w:ascii="仿宋_GB2312" w:hAnsi="宋体" w:eastAsia="仿宋_GB2312" w:cs="宋体"/>
                <w:snapToGrid w:val="0"/>
                <w:color w:val="000000" w:themeColor="text1"/>
                <w:kern w:val="0"/>
                <w:szCs w:val="21"/>
                <w14:textFill>
                  <w14:solidFill>
                    <w14:schemeClr w14:val="tx1"/>
                  </w14:solidFill>
                </w14:textFill>
              </w:rPr>
              <w:t xml:space="preserve">    福建省星云大数据应用服务有限公司成立于2013年11月，是省管国有全资大数据企业——福建省大数据集团有限公司控股子公司，注册资金2.55亿元人民币。</w:t>
            </w:r>
          </w:p>
          <w:p>
            <w:pPr>
              <w:spacing w:line="360" w:lineRule="auto"/>
              <w:rPr>
                <w:rFonts w:hint="eastAsia" w:ascii="仿宋_GB2312" w:hAnsi="宋体" w:eastAsia="仿宋_GB2312" w:cs="宋体"/>
                <w:snapToGrid w:val="0"/>
                <w:color w:val="000000" w:themeColor="text1"/>
                <w:kern w:val="0"/>
                <w:szCs w:val="21"/>
                <w14:textFill>
                  <w14:solidFill>
                    <w14:schemeClr w14:val="tx1"/>
                  </w14:solidFill>
                </w14:textFill>
              </w:rPr>
            </w:pPr>
            <w:r>
              <w:rPr>
                <w:rFonts w:hint="eastAsia" w:ascii="仿宋_GB2312" w:hAnsi="宋体" w:eastAsia="仿宋_GB2312" w:cs="宋体"/>
                <w:snapToGrid w:val="0"/>
                <w:color w:val="000000" w:themeColor="text1"/>
                <w:kern w:val="0"/>
                <w:szCs w:val="21"/>
                <w14:textFill>
                  <w14:solidFill>
                    <w14:schemeClr w14:val="tx1"/>
                  </w14:solidFill>
                </w14:textFill>
              </w:rPr>
              <w:t xml:space="preserve">    作为福建省大数据集团有限公司内最早成立、综合实力最强的市场化企业，公司兼具国企公信力和市场灵活性，历经十年的发展，已成为集系统集成、运维服务、平台运营与产品研发于一体的行业龙头企业。</w:t>
            </w:r>
          </w:p>
          <w:p>
            <w:pPr>
              <w:spacing w:line="360" w:lineRule="auto"/>
              <w:ind w:firstLine="420" w:firstLineChars="200"/>
              <w:rPr>
                <w:rFonts w:hint="eastAsia" w:ascii="仿宋_GB2312" w:hAnsi="宋体" w:eastAsia="仿宋_GB2312" w:cs="宋体"/>
                <w:snapToGrid w:val="0"/>
                <w:color w:val="000000" w:themeColor="text1"/>
                <w:kern w:val="0"/>
                <w:szCs w:val="21"/>
                <w14:textFill>
                  <w14:solidFill>
                    <w14:schemeClr w14:val="tx1"/>
                  </w14:solidFill>
                </w14:textFill>
              </w:rPr>
            </w:pPr>
            <w:r>
              <w:rPr>
                <w:rFonts w:hint="eastAsia" w:ascii="仿宋_GB2312" w:hAnsi="宋体" w:eastAsia="仿宋_GB2312" w:cs="宋体"/>
                <w:snapToGrid w:val="0"/>
                <w:color w:val="000000" w:themeColor="text1"/>
                <w:kern w:val="0"/>
                <w:szCs w:val="21"/>
                <w14:textFill>
                  <w14:solidFill>
                    <w14:schemeClr w14:val="tx1"/>
                  </w14:solidFill>
                </w14:textFill>
              </w:rPr>
              <w:t>公司贯彻落实集团战略部署，在信息融合创新产业主动布局，充分参与全省数字经济发展、数字社会建设的市场化活动，先后承建福建省县域医疗卫生信息化项目、福建省应急通信工程、福建省生态云(生态环境大数据)平台等项目，运营全省一体化诊所诊疗平台“闽诊通”项目，打造可持续发展的业务模式，助力我省数字经济高质量发展。</w:t>
            </w:r>
          </w:p>
          <w:p>
            <w:pPr>
              <w:spacing w:line="360" w:lineRule="auto"/>
              <w:rPr>
                <w:rFonts w:hint="eastAsia" w:ascii="仿宋_GB2312" w:hAnsi="宋体" w:eastAsia="仿宋_GB2312" w:cs="宋体"/>
                <w:snapToGrid w:val="0"/>
                <w:color w:val="000000" w:themeColor="text1"/>
                <w:kern w:val="0"/>
                <w:szCs w:val="21"/>
                <w14:textFill>
                  <w14:solidFill>
                    <w14:schemeClr w14:val="tx1"/>
                  </w14:solidFill>
                </w14:textFill>
              </w:rPr>
            </w:pPr>
            <w:r>
              <w:rPr>
                <w:rFonts w:hint="eastAsia" w:ascii="仿宋_GB2312" w:hAnsi="宋体" w:eastAsia="仿宋_GB2312" w:cs="宋体"/>
                <w:snapToGrid w:val="0"/>
                <w:color w:val="000000" w:themeColor="text1"/>
                <w:kern w:val="0"/>
                <w:szCs w:val="21"/>
                <w14:textFill>
                  <w14:solidFill>
                    <w14:schemeClr w14:val="tx1"/>
                  </w14:solidFill>
                </w14:textFill>
              </w:rPr>
              <w:t xml:space="preserve">    公司坚持党建引领，持续推进党业深度融合，构建精细化管理体系，先后获得国家高新技术企业、软件信息系统建设和服务能力评估三级、CCRC信息安全服务、中央网信办云计算服务安全评估增强级等众多权威资质，业已拥有知识产权200余件，其中专利20余件，并荣获国家“科改企业”、“福建省先进基层党组织”、“福建省数字经济领域未来独角兽企业”、</w:t>
            </w:r>
            <w:r>
              <w:rPr>
                <w:rFonts w:hint="eastAsia" w:ascii="仿宋_GB2312" w:hAnsi="宋体" w:eastAsia="仿宋_GB2312" w:cs="宋体"/>
                <w:snapToGrid w:val="0"/>
                <w:color w:val="000000" w:themeColor="text1"/>
                <w:kern w:val="0"/>
                <w:szCs w:val="21"/>
                <w:lang w:eastAsia="zh-CN"/>
                <w14:textFill>
                  <w14:solidFill>
                    <w14:schemeClr w14:val="tx1"/>
                  </w14:solidFill>
                </w14:textFill>
              </w:rPr>
              <w:t>“</w:t>
            </w:r>
            <w:r>
              <w:rPr>
                <w:rFonts w:hint="eastAsia" w:ascii="仿宋_GB2312" w:hAnsi="宋体" w:eastAsia="仿宋_GB2312" w:cs="宋体"/>
                <w:snapToGrid w:val="0"/>
                <w:color w:val="000000" w:themeColor="text1"/>
                <w:kern w:val="0"/>
                <w:szCs w:val="21"/>
                <w:lang w:val="en-US" w:eastAsia="zh-CN"/>
                <w14:textFill>
                  <w14:solidFill>
                    <w14:schemeClr w14:val="tx1"/>
                  </w14:solidFill>
                </w14:textFill>
              </w:rPr>
              <w:t>福建省企业技术中心</w:t>
            </w:r>
            <w:r>
              <w:rPr>
                <w:rFonts w:hint="eastAsia" w:ascii="仿宋_GB2312" w:hAnsi="宋体" w:eastAsia="仿宋_GB2312" w:cs="宋体"/>
                <w:snapToGrid w:val="0"/>
                <w:color w:val="000000" w:themeColor="text1"/>
                <w:kern w:val="0"/>
                <w:szCs w:val="21"/>
                <w:lang w:eastAsia="zh-CN"/>
                <w14:textFill>
                  <w14:solidFill>
                    <w14:schemeClr w14:val="tx1"/>
                  </w14:solidFill>
                </w14:textFill>
              </w:rPr>
              <w:t>”、</w:t>
            </w:r>
            <w:r>
              <w:rPr>
                <w:rFonts w:hint="eastAsia" w:ascii="仿宋_GB2312" w:hAnsi="宋体" w:eastAsia="仿宋_GB2312" w:cs="宋体"/>
                <w:snapToGrid w:val="0"/>
                <w:color w:val="000000" w:themeColor="text1"/>
                <w:kern w:val="0"/>
                <w:szCs w:val="21"/>
                <w14:textFill>
                  <w14:solidFill>
                    <w14:schemeClr w14:val="tx1"/>
                  </w14:solidFill>
                </w14:textFill>
              </w:rPr>
              <w:t>“福建省新型研发机构”、“福建省科技小巨人”、“福建省互联网企业综合实力50强”、“福建省科技进步一等奖”等荣誉。</w:t>
            </w:r>
          </w:p>
          <w:p>
            <w:pPr>
              <w:spacing w:line="360" w:lineRule="auto"/>
              <w:ind w:firstLine="420" w:firstLineChars="200"/>
              <w:rPr>
                <w:rFonts w:ascii="仿宋_GB2312" w:hAnsi="宋体" w:eastAsia="仿宋_GB2312" w:cs="宋体"/>
                <w:snapToGrid w:val="0"/>
                <w:color w:val="000000" w:themeColor="text1"/>
                <w:kern w:val="0"/>
                <w:szCs w:val="21"/>
                <w14:textFill>
                  <w14:solidFill>
                    <w14:schemeClr w14:val="tx1"/>
                  </w14:solidFill>
                </w14:textFill>
              </w:rPr>
            </w:pPr>
            <w:r>
              <w:rPr>
                <w:rFonts w:hint="eastAsia" w:ascii="仿宋_GB2312" w:hAnsi="宋体" w:eastAsia="仿宋_GB2312" w:cs="宋体"/>
                <w:snapToGrid w:val="0"/>
                <w:color w:val="000000" w:themeColor="text1"/>
                <w:kern w:val="0"/>
                <w:szCs w:val="21"/>
                <w14:textFill>
                  <w14:solidFill>
                    <w14:schemeClr w14:val="tx1"/>
                  </w14:solidFill>
                </w14:textFill>
              </w:rPr>
              <w:t>展望未来，公司将持续发挥资源优势和能力优势，秉承“励志、创新、求实、合作”的企业文化精神，携手生态合作伙伴，共同逐浪数字经济蓝海，助力集团为数字中国建设贡献更多的福建产品、福建技术、福建经验、福建模式。</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☑2亿以上</w:t>
            </w:r>
            <w:bookmarkStart w:id="0" w:name="_GoBack"/>
            <w:bookmarkEnd w:id="0"/>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Arial Unicode MS">
    <w:panose1 w:val="020B0604020202020204"/>
    <w:charset w:val="86"/>
    <w:family w:val="auto"/>
    <w:pitch w:val="default"/>
    <w:sig w:usb0="FFFFFFFF" w:usb1="E9FFFFFF" w:usb2="0000003F" w:usb3="00000000" w:csb0="603F01FF" w:csb1="FFFF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yMGFjNjc3MGM2NWI5ZDgwNGNjZGM2MmM4MzMxOGEifQ=="/>
  </w:docVars>
  <w:rsids>
    <w:rsidRoot w:val="5EC5849C"/>
    <w:rsid w:val="00417DCF"/>
    <w:rsid w:val="00696922"/>
    <w:rsid w:val="009238C1"/>
    <w:rsid w:val="0099152C"/>
    <w:rsid w:val="00A451A4"/>
    <w:rsid w:val="09615163"/>
    <w:rsid w:val="0BE8391A"/>
    <w:rsid w:val="0DEAB020"/>
    <w:rsid w:val="0FDFF58D"/>
    <w:rsid w:val="19FD90B4"/>
    <w:rsid w:val="1BEF7C95"/>
    <w:rsid w:val="1D7C0366"/>
    <w:rsid w:val="1D8F49B9"/>
    <w:rsid w:val="1EE1C420"/>
    <w:rsid w:val="23D76DCE"/>
    <w:rsid w:val="25311A36"/>
    <w:rsid w:val="25407ECB"/>
    <w:rsid w:val="25916EEB"/>
    <w:rsid w:val="27235079"/>
    <w:rsid w:val="27FEAB5C"/>
    <w:rsid w:val="2A1BFCBE"/>
    <w:rsid w:val="2B0E5ED5"/>
    <w:rsid w:val="2B430715"/>
    <w:rsid w:val="2B5FE633"/>
    <w:rsid w:val="2BEFDBA1"/>
    <w:rsid w:val="2C75313C"/>
    <w:rsid w:val="2F7B1FBA"/>
    <w:rsid w:val="302E6F6C"/>
    <w:rsid w:val="3075311F"/>
    <w:rsid w:val="31AA6DF8"/>
    <w:rsid w:val="33F33D11"/>
    <w:rsid w:val="3498562E"/>
    <w:rsid w:val="36DC10F4"/>
    <w:rsid w:val="37BBD2BF"/>
    <w:rsid w:val="37FFAB54"/>
    <w:rsid w:val="390F1A43"/>
    <w:rsid w:val="39975BA6"/>
    <w:rsid w:val="39D70EAF"/>
    <w:rsid w:val="3AAE9D6C"/>
    <w:rsid w:val="3B6DFE67"/>
    <w:rsid w:val="3BCE1E21"/>
    <w:rsid w:val="3CB44FCF"/>
    <w:rsid w:val="3DF7581E"/>
    <w:rsid w:val="3DFC6C2D"/>
    <w:rsid w:val="3E5D4294"/>
    <w:rsid w:val="3EE4CE4D"/>
    <w:rsid w:val="3EEBB9C5"/>
    <w:rsid w:val="3EF7194D"/>
    <w:rsid w:val="3EFF1C42"/>
    <w:rsid w:val="3F3B5533"/>
    <w:rsid w:val="3FBFE549"/>
    <w:rsid w:val="3FD75BCD"/>
    <w:rsid w:val="3FE7AD24"/>
    <w:rsid w:val="3FFE98E2"/>
    <w:rsid w:val="3FFF1896"/>
    <w:rsid w:val="3FFF590C"/>
    <w:rsid w:val="41E369A3"/>
    <w:rsid w:val="41FBA6CE"/>
    <w:rsid w:val="437EB5A4"/>
    <w:rsid w:val="44E51E7B"/>
    <w:rsid w:val="4C325F10"/>
    <w:rsid w:val="4EC967E5"/>
    <w:rsid w:val="53FC451B"/>
    <w:rsid w:val="55F36710"/>
    <w:rsid w:val="56ABB321"/>
    <w:rsid w:val="579DB03C"/>
    <w:rsid w:val="59F229C7"/>
    <w:rsid w:val="5CFB88A6"/>
    <w:rsid w:val="5D18F755"/>
    <w:rsid w:val="5D7D74BD"/>
    <w:rsid w:val="5DF3F0D8"/>
    <w:rsid w:val="5EB697D9"/>
    <w:rsid w:val="5EC5849C"/>
    <w:rsid w:val="5F2A02A6"/>
    <w:rsid w:val="5F67D93C"/>
    <w:rsid w:val="5F77E666"/>
    <w:rsid w:val="5FB77223"/>
    <w:rsid w:val="5FFCC4C1"/>
    <w:rsid w:val="5FFD0080"/>
    <w:rsid w:val="5FFF740A"/>
    <w:rsid w:val="61776D5A"/>
    <w:rsid w:val="6BFFD4C3"/>
    <w:rsid w:val="6DF7350E"/>
    <w:rsid w:val="6E3E3E63"/>
    <w:rsid w:val="6F2C0081"/>
    <w:rsid w:val="6F6968F7"/>
    <w:rsid w:val="6FB19D06"/>
    <w:rsid w:val="723B701D"/>
    <w:rsid w:val="745DADF4"/>
    <w:rsid w:val="757B6DCB"/>
    <w:rsid w:val="76DE00A4"/>
    <w:rsid w:val="77BF5F25"/>
    <w:rsid w:val="77DE858B"/>
    <w:rsid w:val="77FDB90A"/>
    <w:rsid w:val="78F6EE31"/>
    <w:rsid w:val="79701CA2"/>
    <w:rsid w:val="79F26CC1"/>
    <w:rsid w:val="7B5F82FC"/>
    <w:rsid w:val="7B7D4C48"/>
    <w:rsid w:val="7B9B36E6"/>
    <w:rsid w:val="7BBF12D5"/>
    <w:rsid w:val="7BF1893D"/>
    <w:rsid w:val="7CA67789"/>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8F934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0"/>
    <w:rPr>
      <w:i/>
    </w:r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4</Pages>
  <Words>311</Words>
  <Characters>1777</Characters>
  <Lines>14</Lines>
  <Paragraphs>4</Paragraphs>
  <TotalTime>1</TotalTime>
  <ScaleCrop>false</ScaleCrop>
  <LinksUpToDate>false</LinksUpToDate>
  <CharactersWithSpaces>2084</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dcterms:modified xsi:type="dcterms:W3CDTF">2024-03-11T10:48:33Z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5ECC932559CD4FDF9F525690ABD46401</vt:lpwstr>
  </property>
</Properties>
</file>