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pPr>
      <w:r>
        <w:rPr>
          <w:rFonts w:hint="eastAsia"/>
          <w:lang w:val="en-US" w:eastAsia="zh-CN"/>
        </w:rPr>
        <w:t>福建省</w:t>
      </w:r>
      <w:r>
        <w:rPr>
          <w:rFonts w:hint="default"/>
        </w:rPr>
        <w:t>企业技术创新需求征集表</w:t>
      </w:r>
    </w:p>
    <w:tbl>
      <w:tblPr>
        <w:tblStyle w:val="5"/>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福建星网锐捷通讯股份有限公司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陈洲</w:t>
            </w:r>
          </w:p>
        </w:tc>
        <w:tc>
          <w:tcPr>
            <w:tcW w:w="124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项目经理</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13313778586</w:t>
            </w:r>
          </w:p>
        </w:tc>
        <w:tc>
          <w:tcPr>
            <w:tcW w:w="124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chenzhou@star-net.cn</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val="en-US" w:eastAsia="zh-CN"/>
              </w:rPr>
              <w:t>50G-PON光接入系统核心芯片关键技术的研发与产业化</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新一代信息技术</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新材料</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高端装备制造</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jc w:val="both"/>
              <w:rPr>
                <w:rFonts w:hint="eastAsia"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rPr>
              <w:t>□ 新能源与节能环保</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w:t>
            </w:r>
            <w:r>
              <w:rPr>
                <w:rFonts w:hint="eastAsia" w:ascii="仿宋_GB2312" w:hAnsi="宋体" w:eastAsia="仿宋_GB2312" w:cs="宋体"/>
                <w:snapToGrid w:val="0"/>
                <w:color w:val="000000"/>
                <w:kern w:val="0"/>
                <w:szCs w:val="21"/>
                <w:lang w:val="en-US" w:eastAsia="zh-CN"/>
              </w:rPr>
              <w:t>医药</w:t>
            </w:r>
          </w:p>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t>□ 其他</w:t>
            </w:r>
            <w:r>
              <w:rPr>
                <w:rFonts w:hint="default"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技术难题解决</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 </w:t>
            </w:r>
            <w:r>
              <w:rPr>
                <w:rFonts w:hint="default"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hint="default"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新产品开发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产品升级换代       □ 生产线技术改造 </w:t>
            </w:r>
          </w:p>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制造工艺改进      □ 制造装备改进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hint="default"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股权投资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技术转让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 许可使用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合作开发 </w:t>
            </w:r>
          </w:p>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合作兴办新企业</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hint="default" w:ascii="仿宋_GB2312" w:hAnsi="宋体" w:eastAsia="仿宋_GB2312" w:cs="宋体"/>
                <w:snapToGrid w:val="0"/>
                <w:color w:val="000000"/>
                <w:kern w:val="0"/>
                <w:szCs w:val="21"/>
              </w:rPr>
              <w:t>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解决技术需求的拟投入金额</w:t>
            </w:r>
            <w:r>
              <w:rPr>
                <w:rFonts w:hint="eastAsia" w:ascii="仿宋_GB2312" w:hAnsi="宋体" w:eastAsia="仿宋_GB2312" w:cs="宋体"/>
                <w:snapToGrid w:val="0"/>
                <w:color w:val="000000"/>
                <w:kern w:val="0"/>
                <w:szCs w:val="21"/>
                <w:lang w:val="en-US" w:eastAsia="zh-CN"/>
              </w:rPr>
              <w:t>3000</w:t>
            </w:r>
            <w:r>
              <w:rPr>
                <w:rFonts w:hint="eastAsia" w:ascii="仿宋_GB2312" w:hAnsi="宋体" w:eastAsia="仿宋_GB2312" w:cs="宋体"/>
                <w:snapToGrid w:val="0"/>
                <w:color w:val="000000"/>
                <w:kern w:val="0"/>
                <w:szCs w:val="21"/>
              </w:rPr>
              <w:t>万元</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其中：技术需求方提供资金</w:t>
            </w:r>
            <w:r>
              <w:rPr>
                <w:rFonts w:hint="eastAsia" w:ascii="仿宋_GB2312" w:hAnsi="宋体" w:eastAsia="仿宋_GB2312" w:cs="宋体"/>
                <w:snapToGrid w:val="0"/>
                <w:color w:val="000000"/>
                <w:kern w:val="0"/>
                <w:szCs w:val="21"/>
                <w:lang w:val="en-US" w:eastAsia="zh-CN"/>
              </w:rPr>
              <w:t>2200</w:t>
            </w:r>
            <w:r>
              <w:rPr>
                <w:rFonts w:hint="eastAsia" w:ascii="仿宋_GB2312" w:hAnsi="宋体" w:eastAsia="仿宋_GB2312" w:cs="宋体"/>
                <w:snapToGrid w:val="0"/>
                <w:color w:val="000000"/>
                <w:kern w:val="0"/>
                <w:szCs w:val="21"/>
              </w:rPr>
              <w:t>万元，财政资金</w:t>
            </w:r>
            <w:r>
              <w:rPr>
                <w:rFonts w:hint="eastAsia" w:ascii="仿宋_GB2312" w:hAnsi="宋体" w:eastAsia="仿宋_GB2312" w:cs="宋体"/>
                <w:snapToGrid w:val="0"/>
                <w:color w:val="000000"/>
                <w:kern w:val="0"/>
                <w:szCs w:val="21"/>
                <w:lang w:val="en-US" w:eastAsia="zh-CN"/>
              </w:rPr>
              <w:t>800</w:t>
            </w:r>
            <w:r>
              <w:rPr>
                <w:rFonts w:hint="eastAsia" w:ascii="仿宋_GB2312" w:hAnsi="宋体" w:eastAsia="仿宋_GB2312" w:cs="宋体"/>
                <w:snapToGrid w:val="0"/>
                <w:color w:val="000000"/>
                <w:kern w:val="0"/>
                <w:szCs w:val="21"/>
              </w:rPr>
              <w:t>万元（不超过800万元），技术攻关单位自筹资金</w:t>
            </w:r>
            <w:r>
              <w:rPr>
                <w:rFonts w:hint="eastAsia" w:ascii="仿宋_GB2312" w:hAnsi="宋体" w:eastAsia="仿宋_GB2312" w:cs="宋体"/>
                <w:snapToGrid w:val="0"/>
                <w:color w:val="000000"/>
                <w:kern w:val="0"/>
                <w:szCs w:val="21"/>
                <w:lang w:val="en-US" w:eastAsia="zh-CN"/>
              </w:rPr>
              <w:t>0</w:t>
            </w:r>
            <w:r>
              <w:rPr>
                <w:rFonts w:hint="eastAsia" w:ascii="仿宋_GB2312" w:hAnsi="宋体" w:eastAsia="仿宋_GB2312" w:cs="宋体"/>
                <w:snapToGrid w:val="0"/>
                <w:color w:val="000000"/>
                <w:kern w:val="0"/>
                <w:szCs w:val="21"/>
              </w:rPr>
              <w:t>万元。</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016"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需求描述</w:t>
            </w:r>
          </w:p>
        </w:tc>
        <w:tc>
          <w:tcPr>
            <w:tcW w:w="7299" w:type="dxa"/>
            <w:gridSpan w:val="3"/>
            <w:tcBorders>
              <w:tl2br w:val="nil"/>
              <w:tr2bl w:val="nil"/>
            </w:tcBorders>
            <w:tcMar>
              <w:top w:w="0" w:type="dxa"/>
              <w:left w:w="108" w:type="dxa"/>
              <w:bottom w:w="0" w:type="dxa"/>
              <w:right w:w="108" w:type="dxa"/>
            </w:tcMar>
            <w:vAlign w:val="top"/>
          </w:tcPr>
          <w:p>
            <w:pPr>
              <w:adjustRightInd w:val="0"/>
              <w:snapToGrid w:val="0"/>
              <w:spacing w:line="312" w:lineRule="auto"/>
              <w:ind w:firstLine="480" w:firstLineChars="200"/>
              <w:jc w:val="left"/>
              <w:rPr>
                <w:rFonts w:hint="eastAsia" w:ascii="Times New Roman" w:hAnsi="Times New Roman" w:eastAsia="仿宋" w:cs="Times New Roman"/>
                <w:color w:val="auto"/>
                <w:sz w:val="24"/>
              </w:rPr>
            </w:pPr>
            <w:r>
              <w:rPr>
                <w:rFonts w:hint="eastAsia" w:ascii="Times New Roman" w:hAnsi="Times New Roman" w:eastAsia="仿宋" w:cs="Times New Roman"/>
                <w:color w:val="auto"/>
                <w:sz w:val="24"/>
              </w:rPr>
              <w:t>本项目针对下一代光接入网“千兆”向“万兆”演进所需的光通信芯片这一“卡脖子”技术领域，解决产业链前端核心高速芯片国产化、多模兼容算法与设备等关键技术难题，开展面向50G-PON光接入系统核心芯片与设备算法的关键技术研发：</w:t>
            </w:r>
          </w:p>
          <w:p>
            <w:pPr>
              <w:adjustRightInd w:val="0"/>
              <w:snapToGrid w:val="0"/>
              <w:spacing w:line="312" w:lineRule="auto"/>
              <w:ind w:firstLine="0" w:firstLineChars="0"/>
              <w:jc w:val="left"/>
              <w:rPr>
                <w:rFonts w:hint="eastAsia" w:ascii="Times New Roman" w:hAnsi="Times New Roman" w:eastAsia="仿宋" w:cs="Times New Roman"/>
                <w:color w:val="auto"/>
                <w:sz w:val="24"/>
              </w:rPr>
            </w:pPr>
            <w:r>
              <w:rPr>
                <w:rFonts w:hint="eastAsia" w:eastAsia="仿宋" w:cs="Times New Roman"/>
                <w:color w:val="auto"/>
                <w:sz w:val="24"/>
                <w:lang w:val="en-US" w:eastAsia="zh-CN"/>
              </w:rPr>
              <w:t>1、</w:t>
            </w:r>
            <w:r>
              <w:rPr>
                <w:rFonts w:hint="eastAsia" w:ascii="Times New Roman" w:hAnsi="Times New Roman" w:eastAsia="仿宋" w:cs="Times New Roman"/>
                <w:color w:val="auto"/>
                <w:sz w:val="24"/>
              </w:rPr>
              <w:t>研制点到多点50Gb/s速率下行的EML/SOA集成设计及制备与集成封装技术，满足50G-PON家宽场景Class C+性能目标；</w:t>
            </w:r>
          </w:p>
          <w:p>
            <w:pPr>
              <w:adjustRightInd w:val="0"/>
              <w:snapToGrid w:val="0"/>
              <w:spacing w:line="312" w:lineRule="auto"/>
              <w:ind w:firstLine="0" w:firstLineChars="0"/>
              <w:jc w:val="left"/>
              <w:rPr>
                <w:rFonts w:hint="eastAsia" w:ascii="Times New Roman" w:hAnsi="Times New Roman" w:eastAsia="仿宋" w:cs="Times New Roman"/>
                <w:color w:val="auto"/>
                <w:sz w:val="24"/>
              </w:rPr>
            </w:pPr>
            <w:r>
              <w:rPr>
                <w:rFonts w:hint="eastAsia" w:eastAsia="仿宋" w:cs="Times New Roman"/>
                <w:color w:val="auto"/>
                <w:sz w:val="24"/>
                <w:lang w:val="en-US" w:eastAsia="zh-CN"/>
              </w:rPr>
              <w:t>2、</w:t>
            </w:r>
            <w:r>
              <w:rPr>
                <w:rFonts w:hint="eastAsia" w:ascii="Times New Roman" w:hAnsi="Times New Roman" w:eastAsia="仿宋" w:cs="Times New Roman"/>
                <w:color w:val="auto"/>
                <w:sz w:val="24"/>
              </w:rPr>
              <w:t>研究50Gb/s 突发高灵敏APD 设计、制备与集成封装技术；</w:t>
            </w:r>
          </w:p>
          <w:p>
            <w:pPr>
              <w:adjustRightInd w:val="0"/>
              <w:snapToGrid w:val="0"/>
              <w:spacing w:line="312" w:lineRule="auto"/>
              <w:ind w:firstLine="0" w:firstLineChars="0"/>
              <w:jc w:val="left"/>
              <w:rPr>
                <w:rFonts w:hint="eastAsia" w:ascii="Times New Roman" w:hAnsi="Times New Roman" w:eastAsia="仿宋" w:cs="Times New Roman"/>
                <w:color w:val="auto"/>
                <w:sz w:val="24"/>
              </w:rPr>
            </w:pPr>
            <w:r>
              <w:rPr>
                <w:rFonts w:hint="eastAsia" w:eastAsia="仿宋" w:cs="Times New Roman"/>
                <w:color w:val="auto"/>
                <w:sz w:val="24"/>
                <w:lang w:val="en-US" w:eastAsia="zh-CN"/>
              </w:rPr>
              <w:t>3、</w:t>
            </w:r>
            <w:r>
              <w:rPr>
                <w:rFonts w:hint="eastAsia" w:ascii="Times New Roman" w:hAnsi="Times New Roman" w:eastAsia="仿宋" w:cs="Times New Roman"/>
                <w:color w:val="auto"/>
                <w:sz w:val="24"/>
              </w:rPr>
              <w:t>针对50G-PON多波长的特点，开展神经网络模型进行网络流量预测、带宽分配算法研究，提高的网络的性能，满足5G前传低时延的要求；</w:t>
            </w:r>
          </w:p>
          <w:p>
            <w:pPr>
              <w:adjustRightInd w:val="0"/>
              <w:snapToGrid w:val="0"/>
              <w:spacing w:line="312" w:lineRule="auto"/>
              <w:jc w:val="left"/>
              <w:rPr>
                <w:rFonts w:hint="eastAsia" w:ascii="Times New Roman" w:hAnsi="Times New Roman" w:eastAsia="仿宋" w:cs="Times New Roman"/>
                <w:color w:val="auto"/>
                <w:sz w:val="24"/>
              </w:rPr>
            </w:pPr>
            <w:r>
              <w:rPr>
                <w:rFonts w:hint="eastAsia" w:eastAsia="仿宋" w:cs="Times New Roman"/>
                <w:color w:val="auto"/>
                <w:sz w:val="24"/>
                <w:lang w:val="en-US" w:eastAsia="zh-CN"/>
              </w:rPr>
              <w:t>4、</w:t>
            </w:r>
            <w:r>
              <w:rPr>
                <w:rFonts w:hint="eastAsia" w:ascii="Times New Roman" w:hAnsi="Times New Roman" w:eastAsia="仿宋" w:cs="Times New Roman"/>
                <w:color w:val="auto"/>
                <w:sz w:val="24"/>
              </w:rPr>
              <w:t>开展基于FPGA的实时化时钟同步技术研究，兼顾时钟同步算法性能、反馈环路工作状况、硬件资源占用和系统灵敏度等参数，以满足IEEE 1588v2协议要求。</w:t>
            </w:r>
          </w:p>
          <w:p>
            <w:pPr>
              <w:adjustRightInd w:val="0"/>
              <w:snapToGrid w:val="0"/>
              <w:spacing w:line="312" w:lineRule="auto"/>
              <w:ind w:firstLine="480" w:firstLineChars="200"/>
              <w:jc w:val="left"/>
              <w:rPr>
                <w:rFonts w:hint="eastAsia" w:eastAsia="仿宋"/>
                <w:b w:val="0"/>
                <w:bCs w:val="0"/>
                <w:sz w:val="24"/>
              </w:rPr>
            </w:pPr>
            <w:r>
              <w:rPr>
                <w:rFonts w:hint="eastAsia" w:eastAsia="仿宋"/>
                <w:b w:val="0"/>
                <w:bCs w:val="0"/>
                <w:sz w:val="24"/>
              </w:rPr>
              <w:t>本项目攻关研制的核心芯片和设备算法主要技术指标如下：</w:t>
            </w:r>
          </w:p>
          <w:p>
            <w:pPr>
              <w:adjustRightInd w:val="0"/>
              <w:snapToGrid w:val="0"/>
              <w:spacing w:line="312" w:lineRule="auto"/>
              <w:jc w:val="left"/>
              <w:rPr>
                <w:rFonts w:hint="eastAsia" w:eastAsia="仿宋"/>
                <w:b w:val="0"/>
                <w:bCs w:val="0"/>
                <w:sz w:val="24"/>
              </w:rPr>
            </w:pPr>
            <w:r>
              <w:rPr>
                <w:rFonts w:hint="eastAsia" w:eastAsia="仿宋"/>
                <w:b w:val="0"/>
                <w:bCs w:val="0"/>
                <w:sz w:val="24"/>
              </w:rPr>
              <w:t>1、高功率EML/SOA集成发射芯片，下行工作波长：1340nm~1344nm；3dB带宽≥40GHz，平均发射光功率≥8.5dBm；</w:t>
            </w:r>
          </w:p>
          <w:p>
            <w:pPr>
              <w:adjustRightInd w:val="0"/>
              <w:snapToGrid w:val="0"/>
              <w:spacing w:line="312" w:lineRule="auto"/>
              <w:jc w:val="left"/>
              <w:rPr>
                <w:rFonts w:hint="eastAsia" w:eastAsia="仿宋"/>
                <w:b w:val="0"/>
                <w:bCs w:val="0"/>
                <w:sz w:val="24"/>
              </w:rPr>
            </w:pPr>
            <w:r>
              <w:rPr>
                <w:rFonts w:hint="eastAsia" w:eastAsia="仿宋"/>
                <w:b w:val="0"/>
                <w:bCs w:val="0"/>
                <w:sz w:val="24"/>
              </w:rPr>
              <w:t>2、高灵敏度APD芯片，3dB带宽≥35GHz，接收灵敏度≤-26dBm@BER 1E-3，响应度≥4.0A/W；</w:t>
            </w:r>
          </w:p>
          <w:p>
            <w:pPr>
              <w:adjustRightInd w:val="0"/>
              <w:snapToGrid w:val="0"/>
              <w:spacing w:line="312" w:lineRule="auto"/>
              <w:jc w:val="left"/>
              <w:rPr>
                <w:rFonts w:hint="eastAsia" w:eastAsia="仿宋"/>
                <w:b w:val="0"/>
                <w:bCs w:val="0"/>
                <w:sz w:val="24"/>
              </w:rPr>
            </w:pPr>
            <w:r>
              <w:rPr>
                <w:rFonts w:hint="eastAsia" w:eastAsia="仿宋"/>
                <w:b w:val="0"/>
                <w:bCs w:val="0"/>
                <w:sz w:val="24"/>
              </w:rPr>
              <w:t>3、低时延算法开发，单向时延≤1.5 ms。</w:t>
            </w:r>
          </w:p>
          <w:p>
            <w:pPr>
              <w:spacing w:line="360" w:lineRule="auto"/>
              <w:jc w:val="both"/>
              <w:rPr>
                <w:rFonts w:hint="eastAsia" w:ascii="仿宋_GB2312" w:hAnsi="宋体" w:eastAsia="仿宋_GB2312" w:cs="宋体"/>
                <w:snapToGrid w:val="0"/>
                <w:color w:val="000000"/>
                <w:kern w:val="0"/>
                <w:szCs w:val="21"/>
              </w:rPr>
            </w:pP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4923"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default" w:ascii="仿宋_GB2312" w:hAnsi="宋体" w:eastAsia="仿宋_GB2312" w:cs="宋体"/>
                <w:snapToGrid w:val="0"/>
                <w:color w:val="000000"/>
                <w:kern w:val="0"/>
                <w:szCs w:val="21"/>
              </w:rPr>
            </w:pPr>
            <w:r>
              <w:rPr>
                <w:rFonts w:hint="default" w:ascii="仿宋_GB2312" w:hAnsi="宋体" w:eastAsia="仿宋_GB2312" w:cs="宋体"/>
                <w:snapToGrid w:val="0"/>
                <w:color w:val="000000"/>
                <w:kern w:val="0"/>
                <w:szCs w:val="21"/>
              </w:rPr>
              <w:t>企业简介</w:t>
            </w:r>
          </w:p>
        </w:tc>
        <w:tc>
          <w:tcPr>
            <w:tcW w:w="7299" w:type="dxa"/>
            <w:gridSpan w:val="3"/>
            <w:tcBorders>
              <w:tl2br w:val="nil"/>
              <w:tr2bl w:val="nil"/>
            </w:tcBorders>
            <w:tcMar>
              <w:top w:w="0" w:type="dxa"/>
              <w:left w:w="108" w:type="dxa"/>
              <w:bottom w:w="0" w:type="dxa"/>
              <w:right w:w="108" w:type="dxa"/>
            </w:tcMar>
            <w:vAlign w:val="top"/>
          </w:tcPr>
          <w:p>
            <w:pPr>
              <w:spacing w:line="360" w:lineRule="auto"/>
              <w:ind w:firstLine="480" w:firstLineChars="200"/>
              <w:jc w:val="both"/>
              <w:rPr>
                <w:rFonts w:hint="eastAsia" w:ascii="仿宋_GB2312" w:hAnsi="宋体" w:eastAsia="仿宋_GB2312" w:cs="宋体"/>
                <w:snapToGrid w:val="0"/>
                <w:color w:val="000000"/>
                <w:kern w:val="0"/>
                <w:szCs w:val="21"/>
              </w:rPr>
            </w:pPr>
            <w:r>
              <w:rPr>
                <w:rFonts w:hint="eastAsia" w:ascii="Times New Roman" w:hAnsi="Times New Roman" w:eastAsia="仿宋" w:cs="Times New Roman"/>
                <w:color w:val="auto"/>
                <w:sz w:val="24"/>
              </w:rPr>
              <w:t>福建星网锐捷通讯股份有限公司成立于1996年，是行业领先的ICT基础设施及行业解决方案提供商。2022年公司主营收入157.41亿元，研发投入24.76亿元。公司拥有国家企业技术中心、国家企业工业设计中心和国家地方联合工程研究中心等国家级研发平台，累积研发测试设备原值2亿元以上，拥有通过CNAS认证的CCC测试实验室。公司现有研发人员6000以上，承担过多项国家重大项目，公司累计申请专利总数达4154项，公司拥有22条自动化SMT生产线+3条自动化组装线+3条半自动组装线，总产能：1000万台/每年，可支撑星网200亿产值。</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hint="default"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hint="default" w:ascii="仿宋_GB2312" w:hAnsi="宋体" w:eastAsia="仿宋_GB2312"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hint="default"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default"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2亿以上</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812" w:hRule="atLeast"/>
        </w:trPr>
        <w:tc>
          <w:tcPr>
            <w:tcW w:w="1466" w:type="dxa"/>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jc w:val="both"/>
              <w:rPr>
                <w:rFonts w:hint="eastAsia" w:ascii="仿宋_GB2312" w:hAnsi="宋体" w:eastAsia="仿宋_GB2312" w:cs="宋体"/>
                <w:snapToGrid w:val="0"/>
                <w:color w:val="000000"/>
                <w:kern w:val="0"/>
                <w:szCs w:val="21"/>
              </w:rPr>
            </w:pPr>
            <w:bookmarkStart w:id="0" w:name="_GoBack"/>
            <w:bookmarkEnd w:id="0"/>
          </w:p>
        </w:tc>
      </w:tr>
    </w:tbl>
    <w:p>
      <w:pPr>
        <w:spacing w:line="360" w:lineRule="auto"/>
        <w:jc w:val="both"/>
        <w:rPr>
          <w:rFonts w:hint="eastAsia"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WVjMzAzMDQ4ZjRjOWRiMWE4MTEyMjVjMTdkNDAifQ=="/>
  </w:docVars>
  <w:rsids>
    <w:rsidRoot w:val="5EC5849C"/>
    <w:rsid w:val="0DEAB020"/>
    <w:rsid w:val="0F14375F"/>
    <w:rsid w:val="0FDFF58D"/>
    <w:rsid w:val="149C4198"/>
    <w:rsid w:val="17916474"/>
    <w:rsid w:val="19FD90B4"/>
    <w:rsid w:val="1BEF7C95"/>
    <w:rsid w:val="1D8F49B9"/>
    <w:rsid w:val="1EE1C420"/>
    <w:rsid w:val="238115CF"/>
    <w:rsid w:val="23D76DCE"/>
    <w:rsid w:val="27FEAB5C"/>
    <w:rsid w:val="292A336C"/>
    <w:rsid w:val="2A1BFCBE"/>
    <w:rsid w:val="2B0E5ED5"/>
    <w:rsid w:val="2B5FE633"/>
    <w:rsid w:val="2BEFDBA1"/>
    <w:rsid w:val="2F7B1FBA"/>
    <w:rsid w:val="33F33D11"/>
    <w:rsid w:val="36DC10F4"/>
    <w:rsid w:val="37BBD2BF"/>
    <w:rsid w:val="37FFAB54"/>
    <w:rsid w:val="390F1A43"/>
    <w:rsid w:val="39D70EAF"/>
    <w:rsid w:val="3AAE9D6C"/>
    <w:rsid w:val="3B6DFE67"/>
    <w:rsid w:val="3BCE1E21"/>
    <w:rsid w:val="3D4B5F5B"/>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48AA54D8"/>
    <w:rsid w:val="53FC451B"/>
    <w:rsid w:val="56ABB321"/>
    <w:rsid w:val="579DB03C"/>
    <w:rsid w:val="5CFB88A6"/>
    <w:rsid w:val="5D18F755"/>
    <w:rsid w:val="5D7D74BD"/>
    <w:rsid w:val="5DF3F0D8"/>
    <w:rsid w:val="5EB697D9"/>
    <w:rsid w:val="5EC5849C"/>
    <w:rsid w:val="5F2A02A6"/>
    <w:rsid w:val="5F67D93C"/>
    <w:rsid w:val="5F77E666"/>
    <w:rsid w:val="5FB77223"/>
    <w:rsid w:val="5FFCC4C1"/>
    <w:rsid w:val="5FFD0080"/>
    <w:rsid w:val="5FFF740A"/>
    <w:rsid w:val="61776D5A"/>
    <w:rsid w:val="628144D2"/>
    <w:rsid w:val="6B4E599A"/>
    <w:rsid w:val="6BFFD4C3"/>
    <w:rsid w:val="6E3E3E63"/>
    <w:rsid w:val="6F2C0081"/>
    <w:rsid w:val="6F6968F7"/>
    <w:rsid w:val="6FB19D06"/>
    <w:rsid w:val="72874CDD"/>
    <w:rsid w:val="745DADF4"/>
    <w:rsid w:val="757B6DCB"/>
    <w:rsid w:val="76DE00A4"/>
    <w:rsid w:val="77BF5F25"/>
    <w:rsid w:val="77DE858B"/>
    <w:rsid w:val="77FDB90A"/>
    <w:rsid w:val="78F6EE31"/>
    <w:rsid w:val="79F26CC1"/>
    <w:rsid w:val="7B5F82FC"/>
    <w:rsid w:val="7B7D4C48"/>
    <w:rsid w:val="7BBF12D5"/>
    <w:rsid w:val="7BF1893D"/>
    <w:rsid w:val="7CED5A92"/>
    <w:rsid w:val="7D5FF262"/>
    <w:rsid w:val="7DBB29E5"/>
    <w:rsid w:val="7DD2D919"/>
    <w:rsid w:val="7DD72D08"/>
    <w:rsid w:val="7DFBEE85"/>
    <w:rsid w:val="7DFD4F93"/>
    <w:rsid w:val="7E9F5AF7"/>
    <w:rsid w:val="7EDAB7B9"/>
    <w:rsid w:val="7EFA0ECF"/>
    <w:rsid w:val="7EFB12CD"/>
    <w:rsid w:val="7EFFF234"/>
    <w:rsid w:val="7F6983F4"/>
    <w:rsid w:val="7F758238"/>
    <w:rsid w:val="7F7FB46F"/>
    <w:rsid w:val="7FAFF185"/>
    <w:rsid w:val="7FDE7CAA"/>
    <w:rsid w:val="7FDECF36"/>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359" w:firstLineChars="171"/>
    </w:p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2021-03-05T09:29:00Z</dcterms:created>
  <dc:creator>huyc</dc:creator>
  <cp:lastModifiedBy>迎春</cp:lastModifiedBy>
  <dcterms:modified xsi:type="dcterms:W3CDTF">2024-03-11T10:43:22Z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58E76B18403047A29666785A72AED0D9_13</vt:lpwstr>
  </property>
</Properties>
</file>